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04FF1F32" w14:textId="44D2BEF5" w:rsidR="00B542A0" w:rsidRPr="00E078AD" w:rsidRDefault="006A6717" w:rsidP="00B542A0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6A6717">
        <w:rPr>
          <w:rFonts w:ascii="Arial" w:hAnsi="Arial" w:cs="Arial"/>
          <w:b/>
          <w:bCs/>
          <w:i/>
          <w:iCs/>
          <w:sz w:val="26"/>
          <w:szCs w:val="26"/>
        </w:rPr>
        <w:t>Cleopatra, quante storie!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7563CFFB" w14:textId="77777777" w:rsidR="00E078AD" w:rsidRPr="00E078AD" w:rsidRDefault="00E078AD" w:rsidP="00EA56FB">
      <w:pPr>
        <w:spacing w:after="0"/>
        <w:rPr>
          <w:rFonts w:ascii="Arial" w:hAnsi="Arial" w:cs="Arial"/>
        </w:rPr>
      </w:pPr>
    </w:p>
    <w:p w14:paraId="4F788636" w14:textId="78C144EE" w:rsidR="006A6717" w:rsidRPr="006A6717" w:rsidRDefault="006A6717" w:rsidP="006A6717">
      <w:pPr>
        <w:spacing w:after="120" w:line="274" w:lineRule="auto"/>
        <w:jc w:val="both"/>
        <w:rPr>
          <w:rFonts w:ascii="Arial" w:hAnsi="Arial" w:cs="Arial"/>
        </w:rPr>
      </w:pPr>
      <w:r w:rsidRPr="006A6717">
        <w:rPr>
          <w:rFonts w:ascii="Arial" w:hAnsi="Arial" w:cs="Arial"/>
        </w:rPr>
        <w:t>Da un lato il successo intramontabile del personaggio plasmato da Plutarco 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Shakespeare, ripreso poi da Théophile Gautier, Victorien Sardou e da George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Bernard Shaw, dall’altro la tradizione operistica, che allunga le radici in quei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testi, e che matura nel </w:t>
      </w:r>
      <w:r w:rsidRPr="006A6717">
        <w:rPr>
          <w:rFonts w:ascii="Arial" w:hAnsi="Arial" w:cs="Arial"/>
          <w:i/>
          <w:iCs/>
        </w:rPr>
        <w:t xml:space="preserve">Giulio Cesare </w:t>
      </w:r>
      <w:r w:rsidRPr="006A6717">
        <w:rPr>
          <w:rFonts w:ascii="Arial" w:hAnsi="Arial" w:cs="Arial"/>
        </w:rPr>
        <w:t xml:space="preserve">di </w:t>
      </w:r>
      <w:proofErr w:type="spellStart"/>
      <w:r w:rsidRPr="006A6717">
        <w:rPr>
          <w:rFonts w:ascii="Arial" w:hAnsi="Arial" w:cs="Arial"/>
        </w:rPr>
        <w:t>Händel</w:t>
      </w:r>
      <w:proofErr w:type="spellEnd"/>
      <w:r w:rsidRPr="006A6717">
        <w:rPr>
          <w:rFonts w:ascii="Arial" w:hAnsi="Arial" w:cs="Arial"/>
        </w:rPr>
        <w:t xml:space="preserve"> (1724), ma continua con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Cimarosa, Berlioz, Massenet: la letteratura e il teatro musicale contribuiscono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a fare di Cleopatra un personaggio perfetto per il cinema fin dagli anni ’10 del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‘900, quando la nuova arte cerca di nobilitarsi con argomenti drammatici tratti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dalla storia antica e dall’opera.</w:t>
      </w:r>
    </w:p>
    <w:p w14:paraId="32B74F48" w14:textId="44A39C77" w:rsidR="006A6717" w:rsidRPr="006A6717" w:rsidRDefault="006A6717" w:rsidP="006A6717">
      <w:pPr>
        <w:spacing w:after="120" w:line="274" w:lineRule="auto"/>
        <w:jc w:val="both"/>
        <w:rPr>
          <w:rFonts w:ascii="Arial" w:hAnsi="Arial" w:cs="Arial"/>
        </w:rPr>
      </w:pPr>
      <w:r w:rsidRPr="006A6717">
        <w:rPr>
          <w:rFonts w:ascii="Arial" w:hAnsi="Arial" w:cs="Arial"/>
        </w:rPr>
        <w:t xml:space="preserve">Nel 1912 Charles L. </w:t>
      </w:r>
      <w:proofErr w:type="spellStart"/>
      <w:r w:rsidRPr="006A6717">
        <w:rPr>
          <w:rFonts w:ascii="Arial" w:hAnsi="Arial" w:cs="Arial"/>
        </w:rPr>
        <w:t>Gaskill</w:t>
      </w:r>
      <w:proofErr w:type="spellEnd"/>
      <w:r w:rsidRPr="006A6717">
        <w:rPr>
          <w:rFonts w:ascii="Arial" w:hAnsi="Arial" w:cs="Arial"/>
        </w:rPr>
        <w:t xml:space="preserve"> gira </w:t>
      </w:r>
      <w:r w:rsidRPr="006A6717">
        <w:rPr>
          <w:rFonts w:ascii="Arial" w:hAnsi="Arial" w:cs="Arial"/>
          <w:i/>
          <w:iCs/>
        </w:rPr>
        <w:t>Cleopatra</w:t>
      </w:r>
      <w:r w:rsidRPr="006A6717">
        <w:rPr>
          <w:rFonts w:ascii="Arial" w:hAnsi="Arial" w:cs="Arial"/>
        </w:rPr>
        <w:t>, con Helen Gardner, tratto dalla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pièce di Sardou, che era stata portata al successo dalla mitica Sarah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Bernhardt, mentre nel 1913 esce </w:t>
      </w:r>
      <w:r w:rsidRPr="006A6717">
        <w:rPr>
          <w:rFonts w:ascii="Arial" w:hAnsi="Arial" w:cs="Arial"/>
          <w:i/>
          <w:iCs/>
        </w:rPr>
        <w:t xml:space="preserve">Antonio e Cleopatra </w:t>
      </w:r>
      <w:r w:rsidRPr="006A6717">
        <w:rPr>
          <w:rFonts w:ascii="Arial" w:hAnsi="Arial" w:cs="Arial"/>
        </w:rPr>
        <w:t>di Enrico Guazzoni,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tratto da Plutarco, Shakespeare e Pietro Cossa, popolare autore di drammi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in versi. Nel 1917 </w:t>
      </w:r>
      <w:proofErr w:type="spellStart"/>
      <w:proofErr w:type="gramStart"/>
      <w:r w:rsidRPr="006A6717">
        <w:rPr>
          <w:rFonts w:ascii="Arial" w:hAnsi="Arial" w:cs="Arial"/>
        </w:rPr>
        <w:t>J.Gordon</w:t>
      </w:r>
      <w:proofErr w:type="spellEnd"/>
      <w:proofErr w:type="gramEnd"/>
      <w:r w:rsidRPr="006A6717">
        <w:rPr>
          <w:rFonts w:ascii="Arial" w:hAnsi="Arial" w:cs="Arial"/>
        </w:rPr>
        <w:t xml:space="preserve"> Edwards gira </w:t>
      </w:r>
      <w:r w:rsidRPr="006A6717">
        <w:rPr>
          <w:rFonts w:ascii="Arial" w:hAnsi="Arial" w:cs="Arial"/>
          <w:i/>
          <w:iCs/>
        </w:rPr>
        <w:t>Cleopatra</w:t>
      </w:r>
      <w:r w:rsidRPr="006A6717">
        <w:rPr>
          <w:rFonts w:ascii="Arial" w:hAnsi="Arial" w:cs="Arial"/>
        </w:rPr>
        <w:t>, prodotto da William Fox,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con protagonista </w:t>
      </w:r>
      <w:proofErr w:type="spellStart"/>
      <w:r w:rsidRPr="006A6717">
        <w:rPr>
          <w:rFonts w:ascii="Arial" w:hAnsi="Arial" w:cs="Arial"/>
        </w:rPr>
        <w:t>Theda</w:t>
      </w:r>
      <w:proofErr w:type="spellEnd"/>
      <w:r w:rsidRPr="006A6717">
        <w:rPr>
          <w:rFonts w:ascii="Arial" w:hAnsi="Arial" w:cs="Arial"/>
        </w:rPr>
        <w:t xml:space="preserve"> Bara, la prima vamp del cinema hollywoodiano;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dopo l’entrata in vigore del Codice Hays, nel 1934, la strabordante sensualità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dell’interpretazione dell’attrice farà giudicare il film, che fino a quel momento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aveva goduto di grande popolarità, troppo osceno per essere proiettato: ne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sopravvivono pochi secondi. Proprio nel 1934 Cecil B. </w:t>
      </w:r>
      <w:proofErr w:type="spellStart"/>
      <w:r w:rsidRPr="006A6717">
        <w:rPr>
          <w:rFonts w:ascii="Arial" w:hAnsi="Arial" w:cs="Arial"/>
        </w:rPr>
        <w:t>DeMille</w:t>
      </w:r>
      <w:proofErr w:type="spellEnd"/>
      <w:r w:rsidRPr="006A6717">
        <w:rPr>
          <w:rFonts w:ascii="Arial" w:hAnsi="Arial" w:cs="Arial"/>
        </w:rPr>
        <w:t xml:space="preserve"> produce e dirige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la propria versione della storia della regina d’Egitto, con Claudette Colbert che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stempera l’erotismo con un umorismo frizzante.</w:t>
      </w:r>
    </w:p>
    <w:p w14:paraId="26B0D0C5" w14:textId="676CF205" w:rsidR="006A6717" w:rsidRPr="006A6717" w:rsidRDefault="006A6717" w:rsidP="006A6717">
      <w:pPr>
        <w:spacing w:after="120" w:line="274" w:lineRule="auto"/>
        <w:jc w:val="both"/>
        <w:rPr>
          <w:rFonts w:ascii="Arial" w:hAnsi="Arial" w:cs="Arial"/>
        </w:rPr>
      </w:pPr>
      <w:r w:rsidRPr="006A6717">
        <w:rPr>
          <w:rFonts w:ascii="Arial" w:hAnsi="Arial" w:cs="Arial"/>
        </w:rPr>
        <w:t>Tra il 1944 e il 1945, sotto le bombe, Gabriel Pascal realizza, in Technicolor,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  <w:i/>
          <w:iCs/>
        </w:rPr>
        <w:t>Cesare e Cleopatra</w:t>
      </w:r>
      <w:r w:rsidRPr="006A6717">
        <w:rPr>
          <w:rFonts w:ascii="Arial" w:hAnsi="Arial" w:cs="Arial"/>
        </w:rPr>
        <w:t xml:space="preserve">, da Shaw, con Claude </w:t>
      </w:r>
      <w:proofErr w:type="spellStart"/>
      <w:r w:rsidRPr="006A6717">
        <w:rPr>
          <w:rFonts w:ascii="Arial" w:hAnsi="Arial" w:cs="Arial"/>
        </w:rPr>
        <w:t>Rains</w:t>
      </w:r>
      <w:proofErr w:type="spellEnd"/>
      <w:r w:rsidRPr="006A6717">
        <w:rPr>
          <w:rFonts w:ascii="Arial" w:hAnsi="Arial" w:cs="Arial"/>
        </w:rPr>
        <w:t xml:space="preserve"> e Vivien Leigh, il film più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costoso prodotto in Gran Bretagna fino a quel momento. La </w:t>
      </w:r>
      <w:r w:rsidRPr="006A6717">
        <w:rPr>
          <w:rFonts w:ascii="Arial" w:hAnsi="Arial" w:cs="Arial"/>
          <w:i/>
          <w:iCs/>
        </w:rPr>
        <w:t>Cleopatra</w:t>
      </w:r>
      <w:r>
        <w:rPr>
          <w:rFonts w:ascii="Arial" w:hAnsi="Arial" w:cs="Arial"/>
          <w:i/>
          <w:iCs/>
        </w:rPr>
        <w:t xml:space="preserve"> </w:t>
      </w:r>
      <w:r w:rsidRPr="006A6717">
        <w:rPr>
          <w:rFonts w:ascii="Arial" w:hAnsi="Arial" w:cs="Arial"/>
        </w:rPr>
        <w:t xml:space="preserve">cinematografica più celebre, quella con </w:t>
      </w:r>
      <w:proofErr w:type="spellStart"/>
      <w:r w:rsidRPr="006A6717">
        <w:rPr>
          <w:rFonts w:ascii="Arial" w:hAnsi="Arial" w:cs="Arial"/>
        </w:rPr>
        <w:t>Liz</w:t>
      </w:r>
      <w:proofErr w:type="spellEnd"/>
      <w:r w:rsidRPr="006A6717">
        <w:rPr>
          <w:rFonts w:ascii="Arial" w:hAnsi="Arial" w:cs="Arial"/>
        </w:rPr>
        <w:t xml:space="preserve"> Taylor e Richard Burton, arriverà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però sugli schermi nel 1963, firmata da Joseph L. Mankiewicz dopo traversie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produttive immani che rischiarono di far fallire la </w:t>
      </w:r>
      <w:proofErr w:type="spellStart"/>
      <w:r w:rsidRPr="006A6717">
        <w:rPr>
          <w:rFonts w:ascii="Arial" w:hAnsi="Arial" w:cs="Arial"/>
        </w:rPr>
        <w:t>Twentieth</w:t>
      </w:r>
      <w:proofErr w:type="spellEnd"/>
      <w:r w:rsidRPr="006A6717">
        <w:rPr>
          <w:rFonts w:ascii="Arial" w:hAnsi="Arial" w:cs="Arial"/>
        </w:rPr>
        <w:t xml:space="preserve"> Century Fox: il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film, oltre alle consuete fonti, è tratto da un romanzo del torinese Carlo Maria</w:t>
      </w:r>
      <w:r>
        <w:rPr>
          <w:rFonts w:ascii="Arial" w:hAnsi="Arial" w:cs="Arial"/>
        </w:rPr>
        <w:t xml:space="preserve"> </w:t>
      </w:r>
      <w:proofErr w:type="spellStart"/>
      <w:r w:rsidRPr="006A6717">
        <w:rPr>
          <w:rFonts w:ascii="Arial" w:hAnsi="Arial" w:cs="Arial"/>
        </w:rPr>
        <w:t>Franzero</w:t>
      </w:r>
      <w:proofErr w:type="spellEnd"/>
      <w:r w:rsidRPr="006A6717">
        <w:rPr>
          <w:rFonts w:ascii="Arial" w:hAnsi="Arial" w:cs="Arial"/>
        </w:rPr>
        <w:t>, pubblicato a Londra nel 1957. In Italia lo batte sul tempo Totò,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uscendo con </w:t>
      </w:r>
      <w:r w:rsidRPr="006A6717">
        <w:rPr>
          <w:rFonts w:ascii="Arial" w:hAnsi="Arial" w:cs="Arial"/>
          <w:i/>
          <w:iCs/>
        </w:rPr>
        <w:t>Totò e Cleopatra</w:t>
      </w:r>
      <w:r w:rsidRPr="006A6717">
        <w:rPr>
          <w:rFonts w:ascii="Arial" w:hAnsi="Arial" w:cs="Arial"/>
        </w:rPr>
        <w:t xml:space="preserve">, con Magali </w:t>
      </w:r>
      <w:proofErr w:type="spellStart"/>
      <w:r w:rsidRPr="006A6717">
        <w:rPr>
          <w:rFonts w:ascii="Arial" w:hAnsi="Arial" w:cs="Arial"/>
        </w:rPr>
        <w:t>Noël</w:t>
      </w:r>
      <w:proofErr w:type="spellEnd"/>
      <w:r w:rsidRPr="006A6717">
        <w:rPr>
          <w:rFonts w:ascii="Arial" w:hAnsi="Arial" w:cs="Arial"/>
        </w:rPr>
        <w:t xml:space="preserve"> nell’agosto del 1963. Già nel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1954, tra l’altro, Mario Mattoli aveva girato il comico </w:t>
      </w:r>
      <w:r w:rsidRPr="006A6717">
        <w:rPr>
          <w:rFonts w:ascii="Arial" w:hAnsi="Arial" w:cs="Arial"/>
          <w:i/>
          <w:iCs/>
        </w:rPr>
        <w:t>Due notti con Cleopatra</w:t>
      </w:r>
      <w:r w:rsidRPr="006A671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con Sofia Loren e Alberto Sordi, mentre Vittorio Cottafavi nel 1959 seguiva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con il </w:t>
      </w:r>
      <w:proofErr w:type="gramStart"/>
      <w:r w:rsidRPr="006A6717">
        <w:rPr>
          <w:rFonts w:ascii="Arial" w:hAnsi="Arial" w:cs="Arial"/>
        </w:rPr>
        <w:t>peplum</w:t>
      </w:r>
      <w:proofErr w:type="gramEnd"/>
      <w:r w:rsidRPr="006A6717"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  <w:i/>
          <w:iCs/>
        </w:rPr>
        <w:t>Le legioni di Cleopatra</w:t>
      </w:r>
      <w:r w:rsidRPr="006A6717">
        <w:rPr>
          <w:rFonts w:ascii="Arial" w:hAnsi="Arial" w:cs="Arial"/>
        </w:rPr>
        <w:t>, da un soggetto di Ennio De Concini, con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Linda Cristal nel ruolo della regina.</w:t>
      </w:r>
    </w:p>
    <w:p w14:paraId="667C9B7E" w14:textId="0F80F447" w:rsidR="00321864" w:rsidRPr="00E078AD" w:rsidRDefault="006A6717" w:rsidP="006A6717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6A6717">
        <w:rPr>
          <w:rFonts w:ascii="Arial" w:hAnsi="Arial" w:cs="Arial"/>
        </w:rPr>
        <w:t xml:space="preserve">Un posto speciale nel cuore degli spettatori ha l’avventura </w:t>
      </w:r>
      <w:r w:rsidRPr="006A6717">
        <w:rPr>
          <w:rFonts w:ascii="Arial" w:hAnsi="Arial" w:cs="Arial"/>
          <w:i/>
          <w:iCs/>
        </w:rPr>
        <w:t>Asterix e Cleopatra</w:t>
      </w:r>
      <w:r>
        <w:rPr>
          <w:rFonts w:ascii="Arial" w:hAnsi="Arial" w:cs="Arial"/>
          <w:i/>
          <w:iCs/>
        </w:rPr>
        <w:t xml:space="preserve"> </w:t>
      </w:r>
      <w:r w:rsidRPr="006A6717">
        <w:rPr>
          <w:rFonts w:ascii="Arial" w:hAnsi="Arial" w:cs="Arial"/>
        </w:rPr>
        <w:t>immaginata da René Goscinny e Albert Uderzo nel 1965, e piena di riferimenti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al film del 1963, portata sullo schermo in versione animata nel 1968 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 xml:space="preserve">riadattata nel 2002 da Alain </w:t>
      </w:r>
      <w:proofErr w:type="spellStart"/>
      <w:r w:rsidRPr="006A6717">
        <w:rPr>
          <w:rFonts w:ascii="Arial" w:hAnsi="Arial" w:cs="Arial"/>
        </w:rPr>
        <w:t>Chabat</w:t>
      </w:r>
      <w:proofErr w:type="spellEnd"/>
      <w:r w:rsidRPr="006A6717">
        <w:rPr>
          <w:rFonts w:ascii="Arial" w:hAnsi="Arial" w:cs="Arial"/>
        </w:rPr>
        <w:t xml:space="preserve">, con Gérard Depardieu, Christian </w:t>
      </w:r>
      <w:proofErr w:type="spellStart"/>
      <w:r w:rsidRPr="006A6717">
        <w:rPr>
          <w:rFonts w:ascii="Arial" w:hAnsi="Arial" w:cs="Arial"/>
        </w:rPr>
        <w:t>Clavier</w:t>
      </w:r>
      <w:proofErr w:type="spellEnd"/>
      <w:r w:rsidRPr="006A6717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6A6717">
        <w:rPr>
          <w:rFonts w:ascii="Arial" w:hAnsi="Arial" w:cs="Arial"/>
        </w:rPr>
        <w:t>una statuaria Monica Bellucci nel ruolo della sovrana d’Egitto.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E0537"/>
    <w:rsid w:val="00B02723"/>
    <w:rsid w:val="00B028CB"/>
    <w:rsid w:val="00B232C3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2024-11-21T14:50:00Z</dcterms:created>
  <dcterms:modified xsi:type="dcterms:W3CDTF">2024-11-21T14:50:00Z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