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544E2A" w:rsidRPr="00D26647" w:rsidRDefault="00544E2A" w:rsidP="00544E2A">
      <w:pPr>
        <w:jc w:val="center"/>
        <w:rPr>
          <w:rFonts w:ascii="Times New Roman" w:hAnsi="Times New Roman" w:cs="Times New Roman"/>
          <w:b/>
          <w:bCs/>
        </w:rPr>
      </w:pPr>
      <w:r>
        <w:rPr>
          <w:rFonts w:ascii="Times New Roman" w:hAnsi="Times New Roman" w:cs="Times New Roman"/>
          <w:b/>
          <w:bCs/>
        </w:rPr>
        <w:t>I CANTIERI</w:t>
      </w:r>
    </w:p>
    <w:p w:rsidR="00544E2A" w:rsidRPr="00D26647" w:rsidRDefault="00544E2A" w:rsidP="00544E2A">
      <w:pPr>
        <w:jc w:val="both"/>
        <w:rPr>
          <w:rFonts w:ascii="Times New Roman" w:hAnsi="Times New Roman" w:cs="Times New Roman"/>
          <w:b/>
          <w:bCs/>
        </w:rPr>
      </w:pPr>
    </w:p>
    <w:p w:rsidR="00544E2A" w:rsidRDefault="00544E2A" w:rsidP="00544E2A">
      <w:pPr>
        <w:jc w:val="both"/>
        <w:rPr>
          <w:rFonts w:ascii="Times New Roman" w:hAnsi="Times New Roman" w:cs="Times New Roman"/>
          <w:bCs/>
        </w:rPr>
      </w:pPr>
      <w:r w:rsidRPr="00D26647">
        <w:rPr>
          <w:rFonts w:ascii="Times New Roman" w:hAnsi="Times New Roman" w:cs="Times New Roman"/>
          <w:b/>
        </w:rPr>
        <w:t>Messa in sicurezza, del consolidamento strutturale e del restauro della cd. Località dei Bagni del complesso monumentale della Villa del Colle del Cardinale per ampliamento della fruizione e per restituzione e valorizzazione di un percorso di rilevante importanza storica, antropologica, artistica, botanica, architettonica, paesaggistica</w:t>
      </w:r>
      <w:r>
        <w:rPr>
          <w:rFonts w:ascii="Times New Roman" w:hAnsi="Times New Roman" w:cs="Times New Roman"/>
          <w:bCs/>
        </w:rPr>
        <w:t xml:space="preserve">. </w:t>
      </w:r>
    </w:p>
    <w:p w:rsidR="00544E2A" w:rsidRDefault="00544E2A" w:rsidP="00544E2A">
      <w:pPr>
        <w:jc w:val="both"/>
        <w:rPr>
          <w:rFonts w:ascii="Times New Roman" w:hAnsi="Times New Roman" w:cs="Times New Roman"/>
          <w:bCs/>
        </w:rPr>
      </w:pPr>
    </w:p>
    <w:p w:rsidR="00544E2A" w:rsidRDefault="00544E2A" w:rsidP="00544E2A">
      <w:pPr>
        <w:jc w:val="both"/>
        <w:rPr>
          <w:rFonts w:ascii="Times New Roman" w:hAnsi="Times New Roman" w:cs="Times New Roman"/>
        </w:rPr>
      </w:pPr>
      <w:r>
        <w:rPr>
          <w:rFonts w:ascii="Times New Roman" w:hAnsi="Times New Roman" w:cs="Times New Roman"/>
        </w:rPr>
        <w:t xml:space="preserve">Si è resa evidente </w:t>
      </w:r>
      <w:r w:rsidRPr="00D26647">
        <w:rPr>
          <w:rFonts w:ascii="Times New Roman" w:hAnsi="Times New Roman" w:cs="Times New Roman"/>
        </w:rPr>
        <w:t>la necessità di “rivitalizzare” le strutture e l’</w:t>
      </w:r>
      <w:r>
        <w:rPr>
          <w:rFonts w:ascii="Times New Roman" w:hAnsi="Times New Roman" w:cs="Times New Roman"/>
        </w:rPr>
        <w:t>a</w:t>
      </w:r>
      <w:r w:rsidRPr="00D26647">
        <w:rPr>
          <w:rFonts w:ascii="Times New Roman" w:hAnsi="Times New Roman" w:cs="Times New Roman"/>
        </w:rPr>
        <w:t>mbito storico</w:t>
      </w:r>
      <w:r>
        <w:rPr>
          <w:rFonts w:ascii="Times New Roman" w:hAnsi="Times New Roman" w:cs="Times New Roman"/>
        </w:rPr>
        <w:t>-</w:t>
      </w:r>
      <w:r w:rsidRPr="00D26647">
        <w:rPr>
          <w:rFonts w:ascii="Times New Roman" w:hAnsi="Times New Roman" w:cs="Times New Roman"/>
        </w:rPr>
        <w:t>artistico</w:t>
      </w:r>
      <w:r>
        <w:rPr>
          <w:rFonts w:ascii="Times New Roman" w:hAnsi="Times New Roman" w:cs="Times New Roman"/>
        </w:rPr>
        <w:t xml:space="preserve"> d</w:t>
      </w:r>
      <w:r w:rsidRPr="00D26647">
        <w:rPr>
          <w:rFonts w:ascii="Times New Roman" w:hAnsi="Times New Roman" w:cs="Times New Roman"/>
        </w:rPr>
        <w:t>egradato</w:t>
      </w:r>
      <w:r>
        <w:rPr>
          <w:rFonts w:ascii="Times New Roman" w:hAnsi="Times New Roman" w:cs="Times New Roman"/>
        </w:rPr>
        <w:t xml:space="preserve"> dell’area </w:t>
      </w:r>
      <w:r w:rsidRPr="00D26647">
        <w:rPr>
          <w:rFonts w:ascii="Times New Roman" w:hAnsi="Times New Roman" w:cs="Times New Roman"/>
        </w:rPr>
        <w:t>con interventi finalizzati al recupero dell’efficienza inerziale del sistema che</w:t>
      </w:r>
      <w:r>
        <w:rPr>
          <w:rFonts w:ascii="Times New Roman" w:hAnsi="Times New Roman" w:cs="Times New Roman"/>
        </w:rPr>
        <w:t xml:space="preserve"> </w:t>
      </w:r>
      <w:r w:rsidRPr="00D26647">
        <w:rPr>
          <w:rFonts w:ascii="Times New Roman" w:hAnsi="Times New Roman" w:cs="Times New Roman"/>
        </w:rPr>
        <w:t>nel tempo per motivi legati alla vetustà e al susseguirsi degli eventi sismici hanno su di esso</w:t>
      </w:r>
      <w:r>
        <w:rPr>
          <w:rFonts w:ascii="Times New Roman" w:hAnsi="Times New Roman" w:cs="Times New Roman"/>
        </w:rPr>
        <w:t xml:space="preserve"> </w:t>
      </w:r>
      <w:r w:rsidRPr="00D26647">
        <w:rPr>
          <w:rFonts w:ascii="Times New Roman" w:hAnsi="Times New Roman" w:cs="Times New Roman"/>
        </w:rPr>
        <w:t>generato una memoria del danno accumulato</w:t>
      </w:r>
      <w:r>
        <w:rPr>
          <w:rFonts w:ascii="Times New Roman" w:hAnsi="Times New Roman" w:cs="Times New Roman"/>
        </w:rPr>
        <w:t xml:space="preserve">. </w:t>
      </w:r>
    </w:p>
    <w:p w:rsidR="00544E2A" w:rsidRDefault="00544E2A" w:rsidP="00544E2A">
      <w:pPr>
        <w:jc w:val="both"/>
        <w:rPr>
          <w:rFonts w:ascii="Times New Roman" w:hAnsi="Times New Roman" w:cs="Times New Roman"/>
        </w:rPr>
      </w:pPr>
      <w:r>
        <w:rPr>
          <w:rFonts w:ascii="Times New Roman" w:hAnsi="Times New Roman" w:cs="Times New Roman"/>
        </w:rPr>
        <w:t xml:space="preserve">Il progetto di ‘Manutenzione straordinaria della struttura annessa al </w:t>
      </w:r>
      <w:proofErr w:type="spellStart"/>
      <w:r>
        <w:rPr>
          <w:rFonts w:ascii="Times New Roman" w:hAnsi="Times New Roman" w:cs="Times New Roman"/>
        </w:rPr>
        <w:t>Parco’</w:t>
      </w:r>
      <w:proofErr w:type="spellEnd"/>
      <w:r>
        <w:rPr>
          <w:rFonts w:ascii="Times New Roman" w:hAnsi="Times New Roman" w:cs="Times New Roman"/>
        </w:rPr>
        <w:t xml:space="preserve"> redatto dallo Studio </w:t>
      </w:r>
      <w:proofErr w:type="spellStart"/>
      <w:r>
        <w:rPr>
          <w:rFonts w:ascii="Times New Roman" w:hAnsi="Times New Roman" w:cs="Times New Roman"/>
        </w:rPr>
        <w:t>dell’arch</w:t>
      </w:r>
      <w:proofErr w:type="spellEnd"/>
      <w:r>
        <w:rPr>
          <w:rFonts w:ascii="Times New Roman" w:hAnsi="Times New Roman" w:cs="Times New Roman"/>
        </w:rPr>
        <w:t xml:space="preserve">. ing. Massimo Mariani prevede la messa in sicurezza e il consolidamento strutturale di questa area unica nel suo genere. </w:t>
      </w:r>
    </w:p>
    <w:p w:rsidR="00544E2A" w:rsidRDefault="00544E2A" w:rsidP="00544E2A">
      <w:pPr>
        <w:jc w:val="both"/>
        <w:rPr>
          <w:rFonts w:ascii="Times New Roman" w:hAnsi="Times New Roman" w:cs="Times New Roman"/>
        </w:rPr>
      </w:pPr>
      <w:r>
        <w:rPr>
          <w:rFonts w:ascii="Times New Roman" w:hAnsi="Times New Roman" w:cs="Times New Roman"/>
        </w:rPr>
        <w:t xml:space="preserve">All’interno del finanziamento, grazie a </w:t>
      </w:r>
      <w:r w:rsidRPr="00D26647">
        <w:rPr>
          <w:rFonts w:ascii="Times New Roman" w:hAnsi="Times New Roman" w:cs="Times New Roman"/>
        </w:rPr>
        <w:t xml:space="preserve">un accordo fra pubbliche amministrazioni stipulato </w:t>
      </w:r>
      <w:r>
        <w:rPr>
          <w:rFonts w:ascii="Times New Roman" w:hAnsi="Times New Roman" w:cs="Times New Roman"/>
        </w:rPr>
        <w:t xml:space="preserve">con il </w:t>
      </w:r>
      <w:r w:rsidRPr="00D26647">
        <w:rPr>
          <w:rFonts w:ascii="Times New Roman" w:hAnsi="Times New Roman" w:cs="Times New Roman"/>
        </w:rPr>
        <w:t>Dipartimento per la innovazione nei sistemi biologici, agroalimentari e forestali (DIBAF) dell’Università degli Studi della Tuscia il 27 ottobre 2022</w:t>
      </w:r>
      <w:r>
        <w:rPr>
          <w:rFonts w:ascii="Times New Roman" w:hAnsi="Times New Roman" w:cs="Times New Roman"/>
        </w:rPr>
        <w:t xml:space="preserve">, è stato possibile avviare </w:t>
      </w:r>
      <w:r w:rsidRPr="00D26647">
        <w:rPr>
          <w:rFonts w:ascii="Times New Roman" w:hAnsi="Times New Roman" w:cs="Times New Roman"/>
        </w:rPr>
        <w:t xml:space="preserve">attività di ricerca e documentazione volte alla pianificazione degli interventi conservativi sulla decorazione pittorica del cd. </w:t>
      </w:r>
      <w:r w:rsidRPr="00C82281">
        <w:rPr>
          <w:rFonts w:ascii="Times New Roman" w:hAnsi="Times New Roman" w:cs="Times New Roman"/>
          <w:i/>
          <w:iCs/>
        </w:rPr>
        <w:t>Bagno del Cardinale</w:t>
      </w:r>
      <w:r>
        <w:rPr>
          <w:rFonts w:ascii="Times New Roman" w:hAnsi="Times New Roman" w:cs="Times New Roman"/>
        </w:rPr>
        <w:t xml:space="preserve">. </w:t>
      </w:r>
      <w:r w:rsidRPr="00D26647">
        <w:rPr>
          <w:rFonts w:ascii="Times New Roman" w:hAnsi="Times New Roman" w:cs="Times New Roman"/>
        </w:rPr>
        <w:t>L’</w:t>
      </w:r>
      <w:r>
        <w:rPr>
          <w:rFonts w:ascii="Times New Roman" w:hAnsi="Times New Roman" w:cs="Times New Roman"/>
        </w:rPr>
        <w:t>a</w:t>
      </w:r>
      <w:r w:rsidRPr="00D26647">
        <w:rPr>
          <w:rFonts w:ascii="Times New Roman" w:hAnsi="Times New Roman" w:cs="Times New Roman"/>
        </w:rPr>
        <w:t xml:space="preserve">ccordo di collaborazione è finalizzato al perseguimento del comune obiettivo di valorizzare il patrimonio storico artistico della Villa del Cardinale, tramite lo sviluppo di un piano di conoscenza e conservazione </w:t>
      </w:r>
      <w:r>
        <w:rPr>
          <w:rFonts w:ascii="Times New Roman" w:hAnsi="Times New Roman" w:cs="Times New Roman"/>
        </w:rPr>
        <w:t>dell’area</w:t>
      </w:r>
      <w:r w:rsidRPr="00D26647">
        <w:rPr>
          <w:rFonts w:ascii="Times New Roman" w:hAnsi="Times New Roman" w:cs="Times New Roman"/>
        </w:rPr>
        <w:t xml:space="preserve">. Integrando i vari piani di ricerca, indagine e documentazione, il progetto affidato all’Università della Tuscia mira a: </w:t>
      </w:r>
    </w:p>
    <w:p w:rsidR="00544E2A" w:rsidRDefault="00544E2A" w:rsidP="00544E2A">
      <w:pPr>
        <w:jc w:val="both"/>
        <w:rPr>
          <w:rFonts w:ascii="Times New Roman" w:hAnsi="Times New Roman" w:cs="Times New Roman"/>
        </w:rPr>
      </w:pPr>
      <w:r w:rsidRPr="00D26647">
        <w:rPr>
          <w:rFonts w:ascii="Times New Roman" w:hAnsi="Times New Roman" w:cs="Times New Roman"/>
        </w:rPr>
        <w:t xml:space="preserve">- rilevare e mappare le diverse fasi pittoriche: attraverso l’osservazione a luce diretta e radente è possibile evincere le sovrapposizioni tra diversi strati, riconoscerne le caratteristiche peculiari (intonaci, malte, colori e stesure, etc.) e realizzare delle mappature che aiutino a distinguerle e riconoscerle; </w:t>
      </w:r>
    </w:p>
    <w:p w:rsidR="00544E2A" w:rsidRDefault="00544E2A" w:rsidP="00544E2A">
      <w:pPr>
        <w:jc w:val="both"/>
        <w:rPr>
          <w:rFonts w:ascii="Times New Roman" w:hAnsi="Times New Roman" w:cs="Times New Roman"/>
        </w:rPr>
      </w:pPr>
      <w:r w:rsidRPr="00D26647">
        <w:rPr>
          <w:rFonts w:ascii="Times New Roman" w:hAnsi="Times New Roman" w:cs="Times New Roman"/>
        </w:rPr>
        <w:t xml:space="preserve">- comprendere e ripercorrere l’iter esecutivo delle pitture anche attraverso la conoscenza dei materiali impiegati: l’analisi delle tecniche esecutive verrà compiuto grazie all’osservazione visiva coadiuvata da indagini non distruttive (diagnostica per immagini) volte a far luce sui procedimenti e sui materiali messi in opera dagli artisti. A completamento, previa autorizzazione, verranno eseguiti alcuni micro-prelievi volti soprattutto alla conoscenza dei pigmenti e alla caratterizzazione delle malte; </w:t>
      </w:r>
    </w:p>
    <w:p w:rsidR="00544E2A" w:rsidRDefault="00544E2A" w:rsidP="00544E2A">
      <w:pPr>
        <w:jc w:val="both"/>
        <w:rPr>
          <w:rFonts w:ascii="Times New Roman" w:hAnsi="Times New Roman" w:cs="Times New Roman"/>
        </w:rPr>
      </w:pPr>
      <w:r w:rsidRPr="00D26647">
        <w:rPr>
          <w:rFonts w:ascii="Times New Roman" w:hAnsi="Times New Roman" w:cs="Times New Roman"/>
        </w:rPr>
        <w:t xml:space="preserve">- individuare le cause di degrado e mapparne i fenomeni: sulla base delle osservazioni scaturite dall’analisi visiva e ravvicinata delle superfici e dopo aver individuato la morfologia dei principali danni riscontrati, si procederà al rilievo e alla documentazione grafica dei dipinti murali, degli intonaci e delle murature. La documentazione verrà eseguita in situ su stampe fotografiche e fotocopie in bianco e nero in formato adeguato dei dipinti, indicando i differenti fenomeni di degrado mediante simboli grafici di diversi colori. La restituzione grafica delle tavole verrà realizzata mediante il software Autocad avvalendosi delle basi grafiche a disegno lineare; </w:t>
      </w:r>
    </w:p>
    <w:p w:rsidR="00544E2A" w:rsidRDefault="00544E2A" w:rsidP="00544E2A">
      <w:pPr>
        <w:jc w:val="both"/>
        <w:rPr>
          <w:rFonts w:ascii="Times New Roman" w:hAnsi="Times New Roman" w:cs="Times New Roman"/>
        </w:rPr>
      </w:pPr>
      <w:r w:rsidRPr="00D26647">
        <w:rPr>
          <w:rFonts w:ascii="Times New Roman" w:hAnsi="Times New Roman" w:cs="Times New Roman"/>
        </w:rPr>
        <w:t xml:space="preserve">- riconoscere gli interventi di restauro precedenti e le diverse manomissioni: nel corso dei sopralluoghi effettuati ci si è resi conto di quanto le pitture abbiano subito, negli anni, integrazioni e manomissioni dettate soprattutto dalla frequentazione di questi ambienti, si procederà dunque all’analisi e al rilievo degli interventi precedenti; </w:t>
      </w:r>
    </w:p>
    <w:p w:rsidR="00544E2A" w:rsidRDefault="00544E2A" w:rsidP="00544E2A">
      <w:pPr>
        <w:jc w:val="both"/>
        <w:rPr>
          <w:rFonts w:ascii="Times New Roman" w:hAnsi="Times New Roman" w:cs="Times New Roman"/>
        </w:rPr>
      </w:pPr>
      <w:r w:rsidRPr="00D26647">
        <w:rPr>
          <w:rFonts w:ascii="Times New Roman" w:hAnsi="Times New Roman" w:cs="Times New Roman"/>
        </w:rPr>
        <w:t xml:space="preserve">- offrire al fruitore, ricorrendo al restauro virtuale, delle suggestive viste di come un tempo dovevano presentarsi gli ambienti del </w:t>
      </w:r>
      <w:r>
        <w:rPr>
          <w:rFonts w:ascii="Times New Roman" w:hAnsi="Times New Roman" w:cs="Times New Roman"/>
        </w:rPr>
        <w:t>B</w:t>
      </w:r>
      <w:r w:rsidRPr="00D26647">
        <w:rPr>
          <w:rFonts w:ascii="Times New Roman" w:hAnsi="Times New Roman" w:cs="Times New Roman"/>
        </w:rPr>
        <w:t xml:space="preserve">agno. </w:t>
      </w:r>
    </w:p>
    <w:p w:rsidR="00544E2A" w:rsidRPr="00D26647" w:rsidRDefault="00544E2A" w:rsidP="00544E2A">
      <w:pPr>
        <w:jc w:val="both"/>
        <w:rPr>
          <w:rFonts w:ascii="Times New Roman" w:hAnsi="Times New Roman" w:cs="Times New Roman"/>
        </w:rPr>
      </w:pPr>
      <w:r w:rsidRPr="00D26647">
        <w:rPr>
          <w:rFonts w:ascii="Times New Roman" w:hAnsi="Times New Roman" w:cs="Times New Roman"/>
        </w:rPr>
        <w:t>Le diverse fasi di lavoro sono state svolte da un gruppo di ricerca interdisciplinare composto, in questa prima fase, dagli storici dell’arte Paola Pogliani e Michele Benucci, dalla restauratrice Valeria Valentini, dal fotografo Gaetano Alfano e dall’archeologo esperto in rilievi 3D Luca Lucchetti. Il finanziamento previsto dall’accordo, integrato con un cofinanziamento dell’Ateneo della Tuscia ha consentito l’attivazione di due assegni di ricerca annuali attribuiti a Michele Benucci e Valeria Valentini.</w:t>
      </w:r>
    </w:p>
    <w:p w:rsidR="00544E2A" w:rsidRDefault="00544E2A" w:rsidP="00544E2A">
      <w:pPr>
        <w:jc w:val="both"/>
        <w:rPr>
          <w:rFonts w:ascii="Times New Roman" w:hAnsi="Times New Roman" w:cs="Times New Roman"/>
        </w:rPr>
      </w:pPr>
    </w:p>
    <w:p w:rsidR="00544E2A" w:rsidRPr="00D26647" w:rsidRDefault="00544E2A" w:rsidP="00544E2A">
      <w:pPr>
        <w:jc w:val="both"/>
        <w:rPr>
          <w:rFonts w:ascii="Times New Roman" w:hAnsi="Times New Roman" w:cs="Times New Roman"/>
          <w:b/>
        </w:rPr>
      </w:pPr>
      <w:r w:rsidRPr="003D46D7">
        <w:rPr>
          <w:rFonts w:ascii="Times New Roman" w:hAnsi="Times New Roman" w:cs="Times New Roman"/>
          <w:b/>
          <w:i/>
        </w:rPr>
        <w:t>Riqualificazione e valorizzazione del Giardino storico del Complesso monumentale di Villa del Colle del Cardinale</w:t>
      </w:r>
      <w:r w:rsidRPr="003D46D7">
        <w:rPr>
          <w:rFonts w:ascii="Times New Roman" w:hAnsi="Times New Roman" w:cs="Times New Roman"/>
          <w:b/>
        </w:rPr>
        <w:t xml:space="preserve"> – Finanziamento all’interno del PNRR, Missione 1 – Digitalizzazione, innovazione, </w:t>
      </w:r>
      <w:proofErr w:type="spellStart"/>
      <w:r w:rsidRPr="003D46D7">
        <w:rPr>
          <w:rFonts w:ascii="Times New Roman" w:hAnsi="Times New Roman" w:cs="Times New Roman"/>
          <w:b/>
        </w:rPr>
        <w:t>competitivita</w:t>
      </w:r>
      <w:proofErr w:type="spellEnd"/>
      <w:r w:rsidRPr="003D46D7">
        <w:rPr>
          <w:rFonts w:ascii="Times New Roman" w:hAnsi="Times New Roman" w:cs="Times New Roman"/>
          <w:b/>
        </w:rPr>
        <w:t>̀ e cultura, Componente 3 – Cultura 4.0 (M1C3), Misura 2 “Rigenerazione di piccoli siti culturali, patrimonio culturale, religioso e rurale”, Investimento 2.3: “Programmi per valorizzare l’</w:t>
      </w:r>
      <w:proofErr w:type="spellStart"/>
      <w:r w:rsidRPr="003D46D7">
        <w:rPr>
          <w:rFonts w:ascii="Times New Roman" w:hAnsi="Times New Roman" w:cs="Times New Roman"/>
          <w:b/>
        </w:rPr>
        <w:t>identita</w:t>
      </w:r>
      <w:proofErr w:type="spellEnd"/>
      <w:r w:rsidRPr="003D46D7">
        <w:rPr>
          <w:rFonts w:ascii="Times New Roman" w:hAnsi="Times New Roman" w:cs="Times New Roman"/>
          <w:b/>
        </w:rPr>
        <w:t>̀ dei luoghi: parchi e giardini storici”</w:t>
      </w:r>
    </w:p>
    <w:p w:rsidR="00544E2A" w:rsidRPr="00B522B1" w:rsidRDefault="00544E2A" w:rsidP="00544E2A">
      <w:pPr>
        <w:jc w:val="both"/>
        <w:rPr>
          <w:rFonts w:ascii="Times New Roman" w:hAnsi="Times New Roman" w:cs="Times New Roman"/>
        </w:rPr>
      </w:pPr>
      <w:r>
        <w:rPr>
          <w:rFonts w:ascii="Times New Roman" w:hAnsi="Times New Roman" w:cs="Times New Roman"/>
        </w:rPr>
        <w:tab/>
      </w:r>
    </w:p>
    <w:p w:rsidR="009F1742" w:rsidRPr="00AF3699" w:rsidRDefault="009F1742" w:rsidP="009F1742">
      <w:pPr>
        <w:adjustRightInd w:val="0"/>
        <w:snapToGrid w:val="0"/>
        <w:jc w:val="both"/>
        <w:rPr>
          <w:rFonts w:ascii="Times New Roman" w:hAnsi="Times New Roman" w:cs="Times New Roman"/>
          <w:color w:val="000000"/>
        </w:rPr>
      </w:pPr>
      <w:r w:rsidRPr="00AF3699">
        <w:rPr>
          <w:rFonts w:ascii="Times New Roman" w:hAnsi="Times New Roman" w:cs="Times New Roman"/>
          <w:color w:val="000000"/>
        </w:rPr>
        <w:t>Come tutti i giardini storici, anche il parco della Villa del Colle del Cardinale è frutto delle stratificazioni di diversi giardini che si sono succeduti nei secoli e che sono stati modificati dalla cultura nelle diverse epoche storiche.</w:t>
      </w:r>
    </w:p>
    <w:p w:rsidR="009F1742" w:rsidRPr="00AF3699" w:rsidRDefault="009F1742" w:rsidP="009F1742">
      <w:pPr>
        <w:adjustRightInd w:val="0"/>
        <w:snapToGrid w:val="0"/>
        <w:jc w:val="both"/>
        <w:rPr>
          <w:rFonts w:ascii="Times New Roman" w:hAnsi="Times New Roman" w:cs="Times New Roman"/>
          <w:color w:val="000000"/>
        </w:rPr>
      </w:pPr>
    </w:p>
    <w:p w:rsidR="009F1742" w:rsidRPr="00AF3699" w:rsidRDefault="009F1742" w:rsidP="009F1742">
      <w:pPr>
        <w:adjustRightInd w:val="0"/>
        <w:snapToGrid w:val="0"/>
        <w:jc w:val="both"/>
        <w:rPr>
          <w:rFonts w:ascii="Times New Roman" w:hAnsi="Times New Roman" w:cs="Times New Roman"/>
        </w:rPr>
      </w:pPr>
      <w:r w:rsidRPr="00AF3699">
        <w:rPr>
          <w:rFonts w:ascii="Times New Roman" w:hAnsi="Times New Roman" w:cs="Times New Roman"/>
          <w:color w:val="000000"/>
        </w:rPr>
        <w:t xml:space="preserve">Come opera di </w:t>
      </w:r>
      <w:r>
        <w:rPr>
          <w:rFonts w:ascii="Times New Roman" w:hAnsi="Times New Roman" w:cs="Times New Roman"/>
          <w:color w:val="000000"/>
        </w:rPr>
        <w:t>a</w:t>
      </w:r>
      <w:r w:rsidRPr="00AF3699">
        <w:rPr>
          <w:rFonts w:ascii="Times New Roman" w:hAnsi="Times New Roman" w:cs="Times New Roman"/>
          <w:color w:val="000000"/>
        </w:rPr>
        <w:t xml:space="preserve">rchitettura del </w:t>
      </w:r>
      <w:r>
        <w:rPr>
          <w:rFonts w:ascii="Times New Roman" w:hAnsi="Times New Roman" w:cs="Times New Roman"/>
          <w:color w:val="000000"/>
        </w:rPr>
        <w:t>p</w:t>
      </w:r>
      <w:r w:rsidRPr="00AF3699">
        <w:rPr>
          <w:rFonts w:ascii="Times New Roman" w:hAnsi="Times New Roman" w:cs="Times New Roman"/>
          <w:color w:val="000000"/>
        </w:rPr>
        <w:t>aesaggio questo luogo è espressione dei criteri compositivi che lo hanno forgiato (rapporti spaziali e proporzionali fra gli spazi “vuoti”</w:t>
      </w:r>
      <w:r>
        <w:rPr>
          <w:rFonts w:ascii="Times New Roman" w:hAnsi="Times New Roman" w:cs="Times New Roman"/>
          <w:color w:val="000000"/>
        </w:rPr>
        <w:t xml:space="preserve">, </w:t>
      </w:r>
      <w:r w:rsidRPr="00AF3699">
        <w:rPr>
          <w:rFonts w:ascii="Times New Roman" w:hAnsi="Times New Roman" w:cs="Times New Roman"/>
          <w:color w:val="000000"/>
        </w:rPr>
        <w:t xml:space="preserve">percorsi, piazzali, prati, il sistema vegetale, i manufatti edilizi, gli apparati scultorei, il vasellame, le attrezzature e il paesaggio circostante). Il progetto, in corso di realizzazione, ha innanzitutto cercato di ricostruire le tracce dei diversi giardini e le topografie che sono ancora riconoscibili nel sito. Come tutti i giardini storici anche questo è un documento di architettura e natura, nonché scrigno di biodiversità, che oggi assume un ulteriore ruolo e valore ambientale. </w:t>
      </w:r>
    </w:p>
    <w:p w:rsidR="009F1742" w:rsidRPr="00AF3699" w:rsidRDefault="009F1742" w:rsidP="009F1742">
      <w:pPr>
        <w:tabs>
          <w:tab w:val="left" w:pos="7513"/>
        </w:tabs>
        <w:jc w:val="both"/>
        <w:rPr>
          <w:rFonts w:ascii="Times New Roman" w:hAnsi="Times New Roman" w:cs="Times New Roman"/>
          <w:color w:val="000000"/>
        </w:rPr>
      </w:pPr>
      <w:r w:rsidRPr="00AF3699">
        <w:rPr>
          <w:rFonts w:ascii="Times New Roman" w:hAnsi="Times New Roman" w:cs="Times New Roman"/>
          <w:color w:val="000000"/>
        </w:rPr>
        <w:t>Il parco della Villa del Colle del Cardinale ha origine seicentesca e ha visto interventi nel giardino nei secoli XVIII e XX. Come in molti giardini storici, le scarse manutenzioni o le manutenzioni con coscienti dei criteri compositivi originari, hanno confuso le stratificazioni storiche che lo hanno “disegnato”. La rilettura critica dei documenti ha permesso di ricostruire ed evidenziare gli elementi salienti della sua storia evolutiva e il progetto propone la narrazione delle storie e l’evocazione dei caratteri che si sono succeduti nel sito, accogliendo nuove funzioni e adattandosi al cambiamento climatico in corso, affidando alle straordinarie capacità performative della vegetazione il compito di migliorare lo stato dei luoghi dal punto di vista micro-climatico, ambientale e per la  salvaguardia e implementazione della biodiversità.</w:t>
      </w:r>
    </w:p>
    <w:p w:rsidR="009F1742" w:rsidRPr="00AF3699" w:rsidRDefault="009F1742" w:rsidP="009F1742">
      <w:pPr>
        <w:jc w:val="both"/>
        <w:rPr>
          <w:rFonts w:ascii="Times New Roman" w:hAnsi="Times New Roman" w:cs="Times New Roman"/>
        </w:rPr>
      </w:pPr>
    </w:p>
    <w:p w:rsidR="009F1742" w:rsidRPr="00AF3699" w:rsidRDefault="009F1742" w:rsidP="009F1742">
      <w:pPr>
        <w:jc w:val="both"/>
        <w:rPr>
          <w:rFonts w:ascii="Times New Roman" w:hAnsi="Times New Roman" w:cs="Times New Roman"/>
        </w:rPr>
      </w:pPr>
      <w:r w:rsidRPr="00AF3699">
        <w:rPr>
          <w:rFonts w:ascii="Times New Roman" w:hAnsi="Times New Roman" w:cs="Times New Roman"/>
        </w:rPr>
        <w:t>I principali interventi previsti sono:</w:t>
      </w:r>
    </w:p>
    <w:p w:rsidR="009F1742" w:rsidRPr="00AF3699" w:rsidRDefault="009F1742" w:rsidP="009F1742">
      <w:pPr>
        <w:pStyle w:val="Paragrafoelenco"/>
        <w:numPr>
          <w:ilvl w:val="0"/>
          <w:numId w:val="2"/>
        </w:numPr>
        <w:ind w:left="284" w:hanging="284"/>
        <w:jc w:val="both"/>
        <w:rPr>
          <w:rFonts w:ascii="Times New Roman" w:hAnsi="Times New Roman" w:cs="Times New Roman"/>
        </w:rPr>
      </w:pPr>
      <w:r w:rsidRPr="00AF3699">
        <w:rPr>
          <w:rFonts w:ascii="Times New Roman" w:hAnsi="Times New Roman" w:cs="Times New Roman"/>
          <w:b/>
          <w:bCs/>
        </w:rPr>
        <w:t>la sistemazione dell’ingresso</w:t>
      </w:r>
      <w:r w:rsidRPr="00AF3699">
        <w:rPr>
          <w:rFonts w:ascii="Times New Roman" w:hAnsi="Times New Roman" w:cs="Times New Roman"/>
        </w:rPr>
        <w:t xml:space="preserve"> e dei viali di accesso, attraverso il ripristino del sistema di raccolta e regimentazione delle acque piovane, la ripavimentazione con materiale consolidato drenante al 100% e il ripristino delle delimitazioni volumetriche della siep</w:t>
      </w:r>
      <w:r>
        <w:rPr>
          <w:rFonts w:ascii="Times New Roman" w:hAnsi="Times New Roman" w:cs="Times New Roman"/>
        </w:rPr>
        <w:t>e</w:t>
      </w:r>
      <w:r w:rsidRPr="00AF3699">
        <w:rPr>
          <w:rFonts w:ascii="Times New Roman" w:hAnsi="Times New Roman" w:cs="Times New Roman"/>
        </w:rPr>
        <w:t xml:space="preserve"> lateral</w:t>
      </w:r>
      <w:r>
        <w:rPr>
          <w:rFonts w:ascii="Times New Roman" w:hAnsi="Times New Roman" w:cs="Times New Roman"/>
        </w:rPr>
        <w:t xml:space="preserve">e </w:t>
      </w:r>
      <w:r w:rsidRPr="00AF3699">
        <w:rPr>
          <w:rFonts w:ascii="Times New Roman" w:hAnsi="Times New Roman" w:cs="Times New Roman"/>
        </w:rPr>
        <w:t xml:space="preserve">di </w:t>
      </w:r>
      <w:r w:rsidRPr="00AF3699">
        <w:rPr>
          <w:rFonts w:ascii="Times New Roman" w:hAnsi="Times New Roman" w:cs="Times New Roman"/>
          <w:i/>
          <w:iCs/>
        </w:rPr>
        <w:t xml:space="preserve">Laurus </w:t>
      </w:r>
      <w:proofErr w:type="spellStart"/>
      <w:r w:rsidRPr="00AF3699">
        <w:rPr>
          <w:rFonts w:ascii="Times New Roman" w:hAnsi="Times New Roman" w:cs="Times New Roman"/>
          <w:i/>
          <w:iCs/>
        </w:rPr>
        <w:t>nobilis</w:t>
      </w:r>
      <w:proofErr w:type="spellEnd"/>
      <w:r w:rsidRPr="00AF3699">
        <w:rPr>
          <w:rFonts w:ascii="Times New Roman" w:hAnsi="Times New Roman" w:cs="Times New Roman"/>
        </w:rPr>
        <w:t>;</w:t>
      </w:r>
    </w:p>
    <w:p w:rsidR="009F1742" w:rsidRPr="00AF3699" w:rsidRDefault="009F1742" w:rsidP="009F1742">
      <w:pPr>
        <w:pStyle w:val="Paragrafoelenco"/>
        <w:numPr>
          <w:ilvl w:val="0"/>
          <w:numId w:val="2"/>
        </w:numPr>
        <w:ind w:left="284" w:hanging="284"/>
        <w:jc w:val="both"/>
        <w:rPr>
          <w:rFonts w:ascii="Times New Roman" w:hAnsi="Times New Roman" w:cs="Times New Roman"/>
        </w:rPr>
      </w:pPr>
      <w:r w:rsidRPr="00AF3699">
        <w:rPr>
          <w:rFonts w:ascii="Times New Roman" w:hAnsi="Times New Roman" w:cs="Times New Roman"/>
          <w:b/>
          <w:bCs/>
        </w:rPr>
        <w:t>la sistemazione del primo terrazzo d’affaccio ad emiciclo,</w:t>
      </w:r>
      <w:r w:rsidRPr="00AF3699">
        <w:rPr>
          <w:rFonts w:ascii="Times New Roman" w:hAnsi="Times New Roman" w:cs="Times New Roman"/>
        </w:rPr>
        <w:t xml:space="preserve"> caratterizzato dalla presenza della fontana dell’Airone, restaurandola, consolidando il tratto pavimentato esistente (sempre con materiale drenante e regimentando le acque), ripristinando il disegno formale del parterre sulla base della documentazione consultata e proponendo una collezione di rose antiche;</w:t>
      </w:r>
    </w:p>
    <w:p w:rsidR="009F1742" w:rsidRDefault="009F1742" w:rsidP="009F1742">
      <w:pPr>
        <w:pStyle w:val="Paragrafoelenco"/>
        <w:numPr>
          <w:ilvl w:val="0"/>
          <w:numId w:val="2"/>
        </w:numPr>
        <w:ind w:left="284" w:hanging="284"/>
        <w:jc w:val="both"/>
        <w:rPr>
          <w:rFonts w:ascii="Times New Roman" w:hAnsi="Times New Roman" w:cs="Times New Roman"/>
        </w:rPr>
      </w:pPr>
      <w:r w:rsidRPr="00AF3699">
        <w:rPr>
          <w:rFonts w:ascii="Times New Roman" w:hAnsi="Times New Roman" w:cs="Times New Roman"/>
          <w:b/>
          <w:bCs/>
        </w:rPr>
        <w:t>la sistemazione del parterre antistante e laterale alla villa</w:t>
      </w:r>
      <w:r w:rsidRPr="00AF3699">
        <w:rPr>
          <w:rFonts w:ascii="Times New Roman" w:hAnsi="Times New Roman" w:cs="Times New Roman"/>
        </w:rPr>
        <w:t>, prevede sia la sistemazione della fontana esistente che il miglioramento dell’accessibilità (anche a persone con disabilità), oltre ad una sistemazione “effimera” che stagionalmente, grazie all’impianto di bulbi primaverili, “evocherà” il disegno del giardino di ispirazione formale settecentesca, conservando la base plano altimetrica modellata nei primi del novecento;</w:t>
      </w:r>
    </w:p>
    <w:p w:rsidR="009F1742" w:rsidRPr="009F1742" w:rsidRDefault="009F1742" w:rsidP="009F1742">
      <w:pPr>
        <w:pStyle w:val="Paragrafoelenco"/>
        <w:numPr>
          <w:ilvl w:val="0"/>
          <w:numId w:val="2"/>
        </w:numPr>
        <w:ind w:left="284" w:hanging="284"/>
        <w:jc w:val="both"/>
        <w:rPr>
          <w:rFonts w:ascii="Times New Roman" w:hAnsi="Times New Roman" w:cs="Times New Roman"/>
        </w:rPr>
      </w:pPr>
      <w:r>
        <w:rPr>
          <w:rFonts w:ascii="Times New Roman" w:hAnsi="Times New Roman" w:cs="Times New Roman"/>
        </w:rPr>
        <w:t>i</w:t>
      </w:r>
      <w:r w:rsidRPr="009F1742">
        <w:rPr>
          <w:rFonts w:ascii="Times New Roman" w:hAnsi="Times New Roman" w:cs="Times New Roman"/>
        </w:rPr>
        <w:t xml:space="preserve">l </w:t>
      </w:r>
      <w:r w:rsidRPr="009F1742">
        <w:rPr>
          <w:rFonts w:ascii="Times New Roman" w:hAnsi="Times New Roman" w:cs="Times New Roman"/>
          <w:b/>
          <w:bCs/>
        </w:rPr>
        <w:t>teatro delle camelie,</w:t>
      </w:r>
      <w:r w:rsidRPr="009F1742">
        <w:rPr>
          <w:rFonts w:ascii="Times New Roman" w:hAnsi="Times New Roman" w:cs="Times New Roman"/>
        </w:rPr>
        <w:t xml:space="preserve"> ripristinando una collezione documentata nel sito (che si realizzerà dopo il restauro del muro perimetrale);</w:t>
      </w:r>
    </w:p>
    <w:p w:rsidR="009F1742" w:rsidRPr="00AF3699" w:rsidRDefault="009F1742" w:rsidP="009F1742">
      <w:pPr>
        <w:pStyle w:val="Paragrafoelenco"/>
        <w:numPr>
          <w:ilvl w:val="0"/>
          <w:numId w:val="2"/>
        </w:numPr>
        <w:ind w:left="284" w:hanging="284"/>
        <w:jc w:val="both"/>
        <w:rPr>
          <w:rFonts w:ascii="Times New Roman" w:hAnsi="Times New Roman" w:cs="Times New Roman"/>
        </w:rPr>
      </w:pPr>
      <w:r>
        <w:rPr>
          <w:rFonts w:ascii="Times New Roman" w:hAnsi="Times New Roman" w:cs="Times New Roman"/>
        </w:rPr>
        <w:t>l</w:t>
      </w:r>
      <w:r w:rsidRPr="00AF3699">
        <w:rPr>
          <w:rFonts w:ascii="Times New Roman" w:hAnsi="Times New Roman" w:cs="Times New Roman"/>
        </w:rPr>
        <w:t xml:space="preserve">a </w:t>
      </w:r>
      <w:r w:rsidRPr="00AF3699">
        <w:rPr>
          <w:rFonts w:ascii="Times New Roman" w:hAnsi="Times New Roman" w:cs="Times New Roman"/>
          <w:b/>
          <w:bCs/>
        </w:rPr>
        <w:t>sistemazione dell’area degli orti</w:t>
      </w:r>
      <w:r w:rsidRPr="00AF3699">
        <w:rPr>
          <w:rFonts w:ascii="Times New Roman" w:hAnsi="Times New Roman" w:cs="Times New Roman"/>
        </w:rPr>
        <w:t>, che prevede il restauro della Serra di rinvaso e delle pergole in ferro esistenti, l’impianto di un pomario di antiche varietà umbre, riscontrate con la documentazione di archivio consultata, la sistemazione di due spazi dimostrativi e per la didattica, oltre alla messa in sicurezza dello spazio dei ruderi di antiche serre crollate.</w:t>
      </w:r>
    </w:p>
    <w:p w:rsidR="00544E2A" w:rsidRDefault="00544E2A" w:rsidP="00544E2A">
      <w:pPr>
        <w:jc w:val="both"/>
        <w:rPr>
          <w:rFonts w:ascii="Times New Roman" w:hAnsi="Times New Roman" w:cs="Times New Roman"/>
        </w:rPr>
      </w:pPr>
    </w:p>
    <w:p w:rsidR="009F1742" w:rsidRDefault="009F1742" w:rsidP="00544E2A">
      <w:pPr>
        <w:jc w:val="both"/>
        <w:rPr>
          <w:rFonts w:ascii="Times New Roman" w:hAnsi="Times New Roman" w:cs="Times New Roman"/>
        </w:rPr>
      </w:pPr>
    </w:p>
    <w:p w:rsidR="009F1742" w:rsidRDefault="009F1742" w:rsidP="00544E2A">
      <w:pPr>
        <w:jc w:val="both"/>
        <w:rPr>
          <w:rFonts w:ascii="Times New Roman" w:hAnsi="Times New Roman" w:cs="Times New Roman"/>
        </w:rPr>
      </w:pPr>
    </w:p>
    <w:p w:rsidR="009F1742" w:rsidRDefault="009F1742" w:rsidP="00544E2A">
      <w:pPr>
        <w:jc w:val="both"/>
        <w:rPr>
          <w:rFonts w:ascii="Times New Roman" w:hAnsi="Times New Roman" w:cs="Times New Roman"/>
        </w:rPr>
      </w:pPr>
    </w:p>
    <w:p w:rsidR="00544E2A" w:rsidRPr="00D26647" w:rsidRDefault="00544E2A" w:rsidP="00544E2A">
      <w:pPr>
        <w:jc w:val="both"/>
        <w:rPr>
          <w:rFonts w:ascii="Times New Roman" w:hAnsi="Times New Roman" w:cs="Times New Roman"/>
        </w:rPr>
      </w:pPr>
      <w:r>
        <w:rPr>
          <w:rFonts w:ascii="Times New Roman" w:hAnsi="Times New Roman" w:cs="Times New Roman"/>
        </w:rPr>
        <w:lastRenderedPageBreak/>
        <w:t xml:space="preserve">A questi progetti si aggiungono </w:t>
      </w:r>
      <w:r w:rsidRPr="00D26647">
        <w:rPr>
          <w:rFonts w:ascii="Times New Roman" w:hAnsi="Times New Roman" w:cs="Times New Roman"/>
        </w:rPr>
        <w:t xml:space="preserve">i lavori </w:t>
      </w:r>
      <w:r>
        <w:rPr>
          <w:rFonts w:ascii="Times New Roman" w:hAnsi="Times New Roman" w:cs="Times New Roman"/>
        </w:rPr>
        <w:t xml:space="preserve">che </w:t>
      </w:r>
      <w:r w:rsidRPr="00D26647">
        <w:rPr>
          <w:rFonts w:ascii="Times New Roman" w:hAnsi="Times New Roman" w:cs="Times New Roman"/>
        </w:rPr>
        <w:t>hanno previsto l</w:t>
      </w:r>
      <w:r>
        <w:rPr>
          <w:rFonts w:ascii="Times New Roman" w:hAnsi="Times New Roman" w:cs="Times New Roman"/>
        </w:rPr>
        <w:t>’</w:t>
      </w:r>
      <w:r w:rsidRPr="00D26647">
        <w:rPr>
          <w:rFonts w:ascii="Times New Roman" w:hAnsi="Times New Roman" w:cs="Times New Roman"/>
        </w:rPr>
        <w:t>adeguamento del fabbricato della Villa e di quello della Limonaia alle normative antincendio come da DPR 151/2011</w:t>
      </w:r>
      <w:r>
        <w:rPr>
          <w:rFonts w:ascii="Times New Roman" w:hAnsi="Times New Roman" w:cs="Times New Roman"/>
        </w:rPr>
        <w:t xml:space="preserve">, </w:t>
      </w:r>
      <w:r w:rsidRPr="00D26647">
        <w:rPr>
          <w:rFonts w:ascii="Times New Roman" w:hAnsi="Times New Roman" w:cs="Times New Roman"/>
        </w:rPr>
        <w:t xml:space="preserve">finalizzati all'ottenimento del CPI. Nello specifico è stato aggiornato il sistema di rilevamento fumi in entrambe le strutture, riviste le compartimentazioni con installazione di presidi antincendio e implementata la dotazione dei sistemi di spegnimento. Contestualmente sono stati operati lavori di miglioramento delle condizioni generali di sicurezza e accessibilità, come </w:t>
      </w:r>
      <w:r>
        <w:rPr>
          <w:rFonts w:ascii="Times New Roman" w:hAnsi="Times New Roman" w:cs="Times New Roman"/>
        </w:rPr>
        <w:t>la realizzazione di nuovi</w:t>
      </w:r>
      <w:r w:rsidRPr="00D26647">
        <w:rPr>
          <w:rFonts w:ascii="Times New Roman" w:hAnsi="Times New Roman" w:cs="Times New Roman"/>
        </w:rPr>
        <w:t xml:space="preserve"> </w:t>
      </w:r>
      <w:r>
        <w:rPr>
          <w:rFonts w:ascii="Times New Roman" w:hAnsi="Times New Roman" w:cs="Times New Roman"/>
        </w:rPr>
        <w:t>servizi igienici per i visitatori</w:t>
      </w:r>
      <w:r w:rsidRPr="00D26647">
        <w:rPr>
          <w:rFonts w:ascii="Times New Roman" w:hAnsi="Times New Roman" w:cs="Times New Roman"/>
        </w:rPr>
        <w:t xml:space="preserve"> presso la Limonaia, e la sostituzione di gran parte dei corpi illuminanti, con scelte di materiali che garantiscono un consumo energetico minore</w:t>
      </w:r>
      <w:r>
        <w:rPr>
          <w:rFonts w:ascii="Times New Roman" w:hAnsi="Times New Roman" w:cs="Times New Roman"/>
        </w:rPr>
        <w:t xml:space="preserve">. </w:t>
      </w:r>
    </w:p>
    <w:p w:rsidR="00544E2A" w:rsidRPr="00D26647" w:rsidRDefault="00544E2A" w:rsidP="00544E2A">
      <w:pPr>
        <w:jc w:val="both"/>
        <w:rPr>
          <w:rFonts w:ascii="Times New Roman" w:hAnsi="Times New Roman" w:cs="Times New Roman"/>
        </w:rPr>
      </w:pPr>
    </w:p>
    <w:p w:rsidR="00544E2A" w:rsidRDefault="00544E2A" w:rsidP="00544E2A">
      <w:pPr>
        <w:jc w:val="both"/>
        <w:rPr>
          <w:rFonts w:ascii="Times New Roman" w:hAnsi="Times New Roman" w:cs="Times New Roman"/>
        </w:rPr>
      </w:pPr>
    </w:p>
    <w:p w:rsidR="00544E2A" w:rsidRPr="00D26647" w:rsidRDefault="00544E2A" w:rsidP="00544E2A">
      <w:pPr>
        <w:jc w:val="both"/>
        <w:rPr>
          <w:rFonts w:ascii="Times New Roman" w:hAnsi="Times New Roman" w:cs="Times New Roman"/>
        </w:rPr>
      </w:pPr>
    </w:p>
    <w:p w:rsidR="00544E2A" w:rsidRDefault="00544E2A" w:rsidP="00544E2A">
      <w:pPr>
        <w:jc w:val="both"/>
        <w:rPr>
          <w:rFonts w:ascii="Times New Roman" w:hAnsi="Times New Roman" w:cs="Times New Roman"/>
        </w:rPr>
      </w:pPr>
    </w:p>
    <w:p w:rsidR="00544E2A" w:rsidRDefault="00544E2A" w:rsidP="00544E2A">
      <w:pPr>
        <w:jc w:val="both"/>
        <w:rPr>
          <w:rFonts w:ascii="Times New Roman" w:hAnsi="Times New Roman" w:cs="Times New Roman"/>
        </w:rPr>
      </w:pPr>
    </w:p>
    <w:p w:rsidR="00544E2A" w:rsidRPr="004128F4" w:rsidRDefault="00544E2A" w:rsidP="00544E2A">
      <w:pPr>
        <w:jc w:val="both"/>
        <w:rPr>
          <w:rFonts w:ascii="Garamond" w:eastAsia="Garamond" w:hAnsi="Garamond" w:cs="Garamond"/>
        </w:rPr>
      </w:pPr>
    </w:p>
    <w:p w:rsidR="00544E2A" w:rsidRPr="004128F4" w:rsidRDefault="00544E2A" w:rsidP="00544E2A">
      <w:pPr>
        <w:jc w:val="both"/>
        <w:rPr>
          <w:rFonts w:ascii="Garamond" w:hAnsi="Garamond" w:cs="Adobe Garamond Pro"/>
          <w:b/>
          <w:sz w:val="22"/>
          <w:szCs w:val="22"/>
          <w:lang w:bidi="it-IT"/>
        </w:rPr>
      </w:pPr>
    </w:p>
    <w:p w:rsidR="00544E2A" w:rsidRPr="004128F4" w:rsidRDefault="00544E2A" w:rsidP="00544E2A">
      <w:pPr>
        <w:jc w:val="both"/>
        <w:rPr>
          <w:rFonts w:ascii="Garamond" w:eastAsia="Garamond" w:hAnsi="Garamond" w:cs="Garamond"/>
          <w:b/>
          <w:sz w:val="22"/>
          <w:szCs w:val="22"/>
        </w:rPr>
      </w:pPr>
    </w:p>
    <w:p w:rsidR="00544E2A" w:rsidRPr="004128F4" w:rsidRDefault="00544E2A" w:rsidP="00544E2A">
      <w:pPr>
        <w:jc w:val="both"/>
        <w:rPr>
          <w:rFonts w:ascii="Garamond" w:eastAsia="Garamond" w:hAnsi="Garamond" w:cs="Garamond"/>
          <w:sz w:val="22"/>
          <w:szCs w:val="22"/>
        </w:rPr>
      </w:pPr>
    </w:p>
    <w:p w:rsidR="005F0712" w:rsidRDefault="005F0712"/>
    <w:sectPr w:rsidR="005F0712" w:rsidSect="00544E2A">
      <w:headerReference w:type="first" r:id="rId7"/>
      <w:pgSz w:w="11900" w:h="16840"/>
      <w:pgMar w:top="1417" w:right="1134" w:bottom="1134" w:left="1134" w:header="708" w:footer="708"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9215BE" w:rsidRDefault="009215BE">
      <w:r>
        <w:separator/>
      </w:r>
    </w:p>
  </w:endnote>
  <w:endnote w:type="continuationSeparator" w:id="0">
    <w:p w:rsidR="009215BE" w:rsidRDefault="009215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2" w:usb2="00000000" w:usb3="00000000" w:csb0="0000009F" w:csb1="00000000"/>
  </w:font>
  <w:font w:name="Adobe Garamond Pro">
    <w:altName w:val="Garamond"/>
    <w:panose1 w:val="020B0604020202020204"/>
    <w:charset w:val="00"/>
    <w:family w:val="roman"/>
    <w:pitch w:val="variable"/>
    <w:sig w:usb0="800000AF" w:usb1="5000205B" w:usb2="00000000" w:usb3="00000000" w:csb0="0000009B"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9215BE" w:rsidRDefault="009215BE">
      <w:r>
        <w:separator/>
      </w:r>
    </w:p>
  </w:footnote>
  <w:footnote w:type="continuationSeparator" w:id="0">
    <w:p w:rsidR="009215BE" w:rsidRDefault="009215B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E527E3" w:rsidRDefault="00000000" w:rsidP="00D26647">
    <w:pPr>
      <w:widowControl w:val="0"/>
      <w:pBdr>
        <w:top w:val="nil"/>
        <w:left w:val="nil"/>
        <w:bottom w:val="nil"/>
        <w:right w:val="nil"/>
        <w:between w:val="nil"/>
      </w:pBdr>
      <w:spacing w:line="276" w:lineRule="auto"/>
      <w:jc w:val="right"/>
      <w:rPr>
        <w:rFonts w:ascii="Garamond" w:eastAsia="Garamond" w:hAnsi="Garamond" w:cs="Garamond"/>
        <w:color w:val="000000"/>
        <w:sz w:val="22"/>
        <w:szCs w:val="22"/>
        <w:u w:val="single"/>
      </w:rPr>
    </w:pPr>
    <w:r>
      <w:rPr>
        <w:noProof/>
      </w:rPr>
      <w:drawing>
        <wp:anchor distT="0" distB="0" distL="114300" distR="114300" simplePos="0" relativeHeight="251659264" behindDoc="0" locked="0" layoutInCell="1" hidden="0" allowOverlap="1" wp14:anchorId="49832839" wp14:editId="47AAF8C2">
          <wp:simplePos x="0" y="0"/>
          <wp:positionH relativeFrom="column">
            <wp:posOffset>-358479</wp:posOffset>
          </wp:positionH>
          <wp:positionV relativeFrom="paragraph">
            <wp:posOffset>-86995</wp:posOffset>
          </wp:positionV>
          <wp:extent cx="2987675" cy="685800"/>
          <wp:effectExtent l="0" t="0" r="0" b="0"/>
          <wp:wrapSquare wrapText="bothSides" distT="0" distB="0" distL="114300" distR="114300"/>
          <wp:docPr id="244463659"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2987675" cy="685800"/>
                  </a:xfrm>
                  <a:prstGeom prst="rect">
                    <a:avLst/>
                  </a:prstGeom>
                  <a:ln/>
                </pic:spPr>
              </pic:pic>
            </a:graphicData>
          </a:graphic>
        </wp:anchor>
      </w:drawing>
    </w:r>
    <w:r>
      <w:rPr>
        <w:noProof/>
      </w:rPr>
      <w:drawing>
        <wp:inline distT="0" distB="0" distL="0" distR="0" wp14:anchorId="05161374" wp14:editId="3AF50EF9">
          <wp:extent cx="1566250" cy="536610"/>
          <wp:effectExtent l="0" t="0" r="0" b="0"/>
          <wp:docPr id="1956856429"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6856429" name="Immagine 1956856429"/>
                  <pic:cNvPicPr/>
                </pic:nvPicPr>
                <pic:blipFill>
                  <a:blip r:embed="rId2">
                    <a:extLst>
                      <a:ext uri="{28A0092B-C50C-407E-A947-70E740481C1C}">
                        <a14:useLocalDpi xmlns:a14="http://schemas.microsoft.com/office/drawing/2010/main" val="0"/>
                      </a:ext>
                    </a:extLst>
                  </a:blip>
                  <a:stretch>
                    <a:fillRect/>
                  </a:stretch>
                </pic:blipFill>
                <pic:spPr>
                  <a:xfrm>
                    <a:off x="0" y="0"/>
                    <a:ext cx="1708886" cy="585478"/>
                  </a:xfrm>
                  <a:prstGeom prst="rect">
                    <a:avLst/>
                  </a:prstGeom>
                </pic:spPr>
              </pic:pic>
            </a:graphicData>
          </a:graphic>
        </wp:inline>
      </w:drawing>
    </w:r>
  </w:p>
  <w:p w:rsidR="00E527E3" w:rsidRDefault="00E527E3">
    <w:pPr>
      <w:pBdr>
        <w:top w:val="nil"/>
        <w:left w:val="nil"/>
        <w:bottom w:val="nil"/>
        <w:right w:val="nil"/>
        <w:between w:val="nil"/>
      </w:pBdr>
      <w:tabs>
        <w:tab w:val="center" w:pos="4819"/>
        <w:tab w:val="right" w:pos="9638"/>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BD603D9"/>
    <w:multiLevelType w:val="hybridMultilevel"/>
    <w:tmpl w:val="9F10D7B6"/>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56996920"/>
    <w:multiLevelType w:val="hybridMultilevel"/>
    <w:tmpl w:val="B7C69744"/>
    <w:lvl w:ilvl="0" w:tplc="6FC8CF32">
      <w:start w:val="1"/>
      <w:numFmt w:val="decimal"/>
      <w:lvlText w:val="%1."/>
      <w:lvlJc w:val="left"/>
      <w:pPr>
        <w:ind w:left="644" w:hanging="360"/>
      </w:pPr>
      <w:rPr>
        <w:rFonts w:hint="default"/>
        <w:b/>
        <w:bCs/>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136916110">
    <w:abstractNumId w:val="1"/>
  </w:num>
  <w:num w:numId="2" w16cid:durableId="9522517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4E2A"/>
    <w:rsid w:val="002611C5"/>
    <w:rsid w:val="00544E2A"/>
    <w:rsid w:val="005F0712"/>
    <w:rsid w:val="007435BC"/>
    <w:rsid w:val="009215BE"/>
    <w:rsid w:val="009F1742"/>
    <w:rsid w:val="00BA7845"/>
    <w:rsid w:val="00DE463A"/>
    <w:rsid w:val="00E527E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4:docId w14:val="25FF6B27"/>
  <w15:chartTrackingRefBased/>
  <w15:docId w15:val="{A64560BF-F4A8-C94D-A9EC-9471789A0E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it-IT"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544E2A"/>
    <w:rPr>
      <w:rFonts w:ascii="Calibri" w:eastAsia="Calibri" w:hAnsi="Calibri" w:cs="Calibri"/>
      <w:kern w:val="0"/>
      <w:lang w:eastAsia="it-IT"/>
      <w14:ligatures w14:val="non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aliases w:val="Table of contents numbered,Elenco num ARGEA,body,Odsek zoznamu2,Testo_tabella,Dot pt,F5 List Paragraph,List Paragraph Char Char Char,Indicator Text,Numbered Para 1,Bullet 1,Bullet Points,List Paragraph2,MAIN CONTENT,Normal numbered,3,列出"/>
    <w:basedOn w:val="Normale"/>
    <w:link w:val="ParagrafoelencoCarattere"/>
    <w:uiPriority w:val="34"/>
    <w:qFormat/>
    <w:rsid w:val="00544E2A"/>
    <w:pPr>
      <w:ind w:left="720"/>
      <w:contextualSpacing/>
    </w:pPr>
  </w:style>
  <w:style w:type="character" w:customStyle="1" w:styleId="ParagrafoelencoCarattere">
    <w:name w:val="Paragrafo elenco Carattere"/>
    <w:aliases w:val="Table of contents numbered Carattere,Elenco num ARGEA Carattere,body Carattere,Odsek zoznamu2 Carattere,Testo_tabella Carattere,Dot pt Carattere,F5 List Paragraph Carattere,List Paragraph Char Char Char Carattere,3 Carattere"/>
    <w:link w:val="Paragrafoelenco"/>
    <w:uiPriority w:val="34"/>
    <w:qFormat/>
    <w:locked/>
    <w:rsid w:val="00544E2A"/>
    <w:rPr>
      <w:rFonts w:ascii="Calibri" w:eastAsia="Calibri" w:hAnsi="Calibri" w:cs="Calibri"/>
      <w:kern w:val="0"/>
      <w:lang w:eastAsia="it-IT"/>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2.xml"/><Relationship Id="rId5" Type="http://schemas.openxmlformats.org/officeDocument/2006/relationships/footnotes" Target="footnotes.xml"/><Relationship Id="rId10"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CEE2951FC9A8954D98E2686339B094D3" ma:contentTypeVersion="18" ma:contentTypeDescription="Creare un nuovo documento." ma:contentTypeScope="" ma:versionID="38a3b00c9b68253a8ca4bf5eae90c48f">
  <xsd:schema xmlns:xsd="http://www.w3.org/2001/XMLSchema" xmlns:xs="http://www.w3.org/2001/XMLSchema" xmlns:p="http://schemas.microsoft.com/office/2006/metadata/properties" xmlns:ns2="e51cac17-9d3b-42cf-aa66-1c7ce94de299" xmlns:ns3="e6ae1104-2084-46c2-94e8-fb18143a54c8" targetNamespace="http://schemas.microsoft.com/office/2006/metadata/properties" ma:root="true" ma:fieldsID="b8ccb006690dad88fc627e7df02388b8" ns2:_="" ns3:_="">
    <xsd:import namespace="e51cac17-9d3b-42cf-aa66-1c7ce94de299"/>
    <xsd:import namespace="e6ae1104-2084-46c2-94e8-fb18143a54c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51cac17-9d3b-42cf-aa66-1c7ce94de29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Tag immagine" ma:readOnly="false" ma:fieldId="{5cf76f15-5ced-4ddc-b409-7134ff3c332f}" ma:taxonomyMulti="true" ma:sspId="32750ef2-dc1e-42bb-9b8b-20a1a6cd70a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6ae1104-2084-46c2-94e8-fb18143a54c8" elementFormDefault="qualified">
    <xsd:import namespace="http://schemas.microsoft.com/office/2006/documentManagement/types"/>
    <xsd:import namespace="http://schemas.microsoft.com/office/infopath/2007/PartnerControls"/>
    <xsd:element name="SharedWithUsers" ma:index="19"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Condiviso con dettagli" ma:internalName="SharedWithDetails" ma:readOnly="true">
      <xsd:simpleType>
        <xsd:restriction base="dms:Note">
          <xsd:maxLength value="255"/>
        </xsd:restriction>
      </xsd:simpleType>
    </xsd:element>
    <xsd:element name="TaxCatchAll" ma:index="23" nillable="true" ma:displayName="Taxonomy Catch All Column" ma:hidden="true" ma:list="{990734e1-f8e3-4e3c-8931-9fe2cbf06ccc}" ma:internalName="TaxCatchAll" ma:showField="CatchAllData" ma:web="e6ae1104-2084-46c2-94e8-fb18143a54c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e6ae1104-2084-46c2-94e8-fb18143a54c8" xsi:nil="true"/>
    <lcf76f155ced4ddcb4097134ff3c332f xmlns="e51cac17-9d3b-42cf-aa66-1c7ce94de299">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51323762-E1A9-4E88-9958-D092BF4F7449}"/>
</file>

<file path=customXml/itemProps2.xml><?xml version="1.0" encoding="utf-8"?>
<ds:datastoreItem xmlns:ds="http://schemas.openxmlformats.org/officeDocument/2006/customXml" ds:itemID="{EE78349A-077B-4D15-9085-6D11F06B0F12}"/>
</file>

<file path=customXml/itemProps3.xml><?xml version="1.0" encoding="utf-8"?>
<ds:datastoreItem xmlns:ds="http://schemas.openxmlformats.org/officeDocument/2006/customXml" ds:itemID="{3BBC5F4B-94E7-4457-9DE4-37A1D0CD12F7}"/>
</file>

<file path=docProps/app.xml><?xml version="1.0" encoding="utf-8"?>
<Properties xmlns="http://schemas.openxmlformats.org/officeDocument/2006/extended-properties" xmlns:vt="http://schemas.openxmlformats.org/officeDocument/2006/docPropsVTypes">
  <Template>Normal.dotm</Template>
  <TotalTime>4</TotalTime>
  <Pages>3</Pages>
  <Words>1314</Words>
  <Characters>7496</Characters>
  <Application>Microsoft Office Word</Application>
  <DocSecurity>0</DocSecurity>
  <Lines>62</Lines>
  <Paragraphs>17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8793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3</cp:revision>
  <dcterms:created xsi:type="dcterms:W3CDTF">2024-10-21T10:08:00Z</dcterms:created>
  <dcterms:modified xsi:type="dcterms:W3CDTF">2024-10-21T10:46:00Z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0x010100CEE2951FC9A8954D98E2686339B094D3</vt:lpwstr>
  </property>
</Properties>
</file>