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DB97F" w14:textId="4F1B4FB2" w:rsidR="0045624D" w:rsidRPr="0045624D" w:rsidRDefault="00057F66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sz w:val="28"/>
          <w:szCs w:val="28"/>
          <w:shd w:val="clear" w:color="auto" w:fill="FFFFFF"/>
        </w:rPr>
        <w:t>MARCO TONELLI</w:t>
      </w:r>
    </w:p>
    <w:p w14:paraId="28D11EBE" w14:textId="77777777" w:rsidR="00057F66" w:rsidRDefault="00057F66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sz w:val="28"/>
          <w:szCs w:val="28"/>
          <w:shd w:val="clear" w:color="auto" w:fill="FFFFFF"/>
        </w:rPr>
        <w:t>Curatore della mostra</w:t>
      </w:r>
    </w:p>
    <w:p w14:paraId="6CF2851C" w14:textId="77777777" w:rsidR="00057F66" w:rsidRDefault="00057F66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</w:p>
    <w:p w14:paraId="03C0A962" w14:textId="612B05B7" w:rsidR="00AA4AF6" w:rsidRPr="00057F66" w:rsidRDefault="00057F66" w:rsidP="00AA4AF6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057F66">
        <w:rPr>
          <w:rFonts w:cstheme="minorHAnsi"/>
          <w:b/>
          <w:bCs/>
          <w:sz w:val="28"/>
          <w:szCs w:val="28"/>
          <w:shd w:val="clear" w:color="auto" w:fill="FFFFFF"/>
        </w:rPr>
        <w:t>Mark di Suvero: oltre lo spazio, oltre il tempo *</w:t>
      </w:r>
    </w:p>
    <w:p w14:paraId="2451FCDF" w14:textId="77777777" w:rsidR="00AA4AF6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</w:rPr>
      </w:pPr>
    </w:p>
    <w:p w14:paraId="7C5F3E87" w14:textId="30913E21" w:rsidR="00AA4AF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t>Nel 1962 Giovanni Carandente, il critico d’arte che, in Italia, si occupò in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lungo e in largo della grande scultura internazionale in ferro e acciaio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della seconda metà del XX secolo, curando mostre e monografie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Alexander Calder, David Smith, Eduardo Chillida, Beverly Pepper, Mark di Suvero ed Anthony Caro, organizzò la storica rassegna Sculture nella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città, includendovi tutti i più importanti scultori dell’epoca.</w:t>
      </w:r>
    </w:p>
    <w:p w14:paraId="2034D2E6" w14:textId="2FDB983D" w:rsidR="00057F66" w:rsidRP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(…) </w:t>
      </w:r>
      <w:r w:rsidRPr="00057F66">
        <w:rPr>
          <w:rFonts w:cstheme="minorHAnsi"/>
          <w:shd w:val="clear" w:color="auto" w:fill="FFFFFF"/>
        </w:rPr>
        <w:t>L’assenza più interessante fu quella</w:t>
      </w:r>
      <w:r>
        <w:rPr>
          <w:rFonts w:cstheme="minorHAnsi"/>
          <w:shd w:val="clear" w:color="auto" w:fill="FFFFFF"/>
        </w:rPr>
        <w:t xml:space="preserve"> di </w:t>
      </w:r>
      <w:r w:rsidRPr="00057F66">
        <w:rPr>
          <w:rFonts w:cstheme="minorHAnsi"/>
          <w:shd w:val="clear" w:color="auto" w:fill="FFFFFF"/>
        </w:rPr>
        <w:t>Mark di Suvero, uno scultore che in quel preciso momento storico stava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passando dall’uso del legno a quello esclusivo dell’acciaio e soprattutto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dalla realizzazione di sculture ancora assemblate a mano a grandi strutture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costruite utilizzando mezzi meccanici.</w:t>
      </w:r>
      <w:r>
        <w:rPr>
          <w:rFonts w:cstheme="minorHAnsi"/>
          <w:shd w:val="clear" w:color="auto" w:fill="FFFFFF"/>
        </w:rPr>
        <w:t xml:space="preserve"> (…) </w:t>
      </w:r>
      <w:r w:rsidRPr="00057F66">
        <w:rPr>
          <w:rFonts w:cstheme="minorHAnsi"/>
          <w:shd w:val="clear" w:color="auto" w:fill="FFFFFF"/>
        </w:rPr>
        <w:t>Di Suvero (che ironia della sorte proprio Carandente presenterà in una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mostra personale di opere outdoor a Venezia nel 1995, dopo averlo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invitato ad esporre nel 1988 alla Biennale) nel 1962 non era ancora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pronto per il grande salto. Nel 1960 aveva inoltre subito un gravissimo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incidente su un cantiere di lavoro (niente a che vedere con la scultura),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che lo aveva costretto a una lunga degenza e a una miracolosa riabilitazione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(a detta dei medici sembrava condannato a vita alla sedia 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rotelle e a rimanere paralizzato), ma soprattutto a dover rivedere completamente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il suo modo di lavorare, che ormai non poteva più essere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lo stesso di prima, come aveva fatto tra 1959 e 1960 assemblando con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chiodi, corde e catene di ferro travi di legno, sedie, scale e altri materiali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 xml:space="preserve">di recupero in magistrali opere quali </w:t>
      </w:r>
      <w:r w:rsidRPr="00057F66">
        <w:rPr>
          <w:rFonts w:cstheme="minorHAnsi"/>
          <w:i/>
          <w:iCs/>
          <w:shd w:val="clear" w:color="auto" w:fill="FFFFFF"/>
        </w:rPr>
        <w:t>Hankchampion</w:t>
      </w:r>
      <w:r w:rsidRPr="00057F66">
        <w:rPr>
          <w:rFonts w:cstheme="minorHAnsi"/>
          <w:shd w:val="clear" w:color="auto" w:fill="FFFFFF"/>
        </w:rPr>
        <w:t xml:space="preserve">, </w:t>
      </w:r>
      <w:r w:rsidRPr="00057F66">
        <w:rPr>
          <w:rFonts w:cstheme="minorHAnsi"/>
          <w:i/>
          <w:iCs/>
          <w:shd w:val="clear" w:color="auto" w:fill="FFFFFF"/>
        </w:rPr>
        <w:t>Barrel</w:t>
      </w:r>
      <w:r w:rsidRPr="00057F66">
        <w:rPr>
          <w:rFonts w:cstheme="minorHAnsi"/>
          <w:shd w:val="clear" w:color="auto" w:fill="FFFFFF"/>
        </w:rPr>
        <w:t xml:space="preserve">, </w:t>
      </w:r>
      <w:r w:rsidRPr="00057F66">
        <w:rPr>
          <w:rFonts w:cstheme="minorHAnsi"/>
          <w:i/>
          <w:iCs/>
          <w:shd w:val="clear" w:color="auto" w:fill="FFFFFF"/>
        </w:rPr>
        <w:t>Ladderpiece</w:t>
      </w:r>
      <w:r w:rsidRPr="00057F66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i/>
          <w:iCs/>
          <w:shd w:val="clear" w:color="auto" w:fill="FFFFFF"/>
        </w:rPr>
        <w:t>Che farò senza Euridice</w:t>
      </w:r>
      <w:r w:rsidRPr="00057F66">
        <w:rPr>
          <w:rFonts w:cstheme="minorHAnsi"/>
          <w:shd w:val="clear" w:color="auto" w:fill="FFFFFF"/>
        </w:rPr>
        <w:t xml:space="preserve"> o </w:t>
      </w:r>
      <w:r w:rsidRPr="00057F66">
        <w:rPr>
          <w:rFonts w:cstheme="minorHAnsi"/>
          <w:i/>
          <w:iCs/>
          <w:shd w:val="clear" w:color="auto" w:fill="FFFFFF"/>
        </w:rPr>
        <w:t>For Sabatere</w:t>
      </w:r>
      <w:r w:rsidRPr="00057F66">
        <w:rPr>
          <w:rFonts w:cstheme="minorHAnsi"/>
          <w:shd w:val="clear" w:color="auto" w:fill="FFFFFF"/>
        </w:rPr>
        <w:t>.</w:t>
      </w:r>
    </w:p>
    <w:p w14:paraId="13C79402" w14:textId="002CE6EB" w:rsidR="00057F66" w:rsidRP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t>Così mentre nel 1962 veniva celebrata in Italia la scultura in ferro 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acciaio, di Suvero stava metabolizzando una vera e propria rinascita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avviata in piccolo intorno al 1963 e poi esplosa nella scala dimensionale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per cui è conosciuto in tutto il mondo dal 1966, anno in cui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per la prima volta entrò in possesso di una gru e delle capacità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tecniche per poterla utilizzare. Di Suvero nella storia dell’arte è comunemente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associato alle fasi finali dell’Espressionismo astratto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e spesso definito, a ragione, colui che seppe tradurre tridimensionalmente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la drammatica gestualità dei dipinti di Franz Kline, a suo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stesso dire uno dei grandi eroi dell’action painting. Se ciò è vero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per periodo storico (Kline morirà proprio nel 1962), ambiente (dal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1957 di Suvero operava ormai stabilmente a New York, la patria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della Scuola omonima di cui avevano fatto parte Kline, de Kooning,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Rothko e via dicendo) e stile, non lo è per contenuti.</w:t>
      </w:r>
    </w:p>
    <w:p w14:paraId="56ED83C6" w14:textId="06194CD7" w:rsidR="00057F66" w:rsidRP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lastRenderedPageBreak/>
        <w:t>Ancora oggi ad ogni modo il suo legame con quel particolare movimento artistico è dato per scontato, come dimostra un articolo sul</w:t>
      </w:r>
      <w:r w:rsidR="00E6468A"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New York Times di H. M. Miller scritto nel 2016: “Di Suvero è uno degli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ultimi espressionisti astratti sopravvissuti e, praticamente, l’unico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artistica di quell’epoca che ancora realizza nuove opere.” Per quanto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questo possa avere un fondo di verità (anche se c’è da ricordare che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tra il più giovane espressionista astratto dello storico movimento e lui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passavano almeno 15 anni di differenza, se non 23 come nel caso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Kline), di Suvero aveva precisato, come riportato nello stesso articolo,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sentirsi un “corrupted constructivist” (un costruttivista corrotto)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piuttosto che un “abstract expressionist” (espressionista astratto). Ad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ogni modo il critico Robert Hughes, che è stato negli anni ‘80 la voce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più autorevole del Time, aveva inserito di Suvero nella terza generazione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artisti venuti alla ribalta a New York all’inizio degli anni ’60,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secondo questo preciso ordine: “Oldenburg, Lichtenstein, Rosenquist,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Warhol, Kelly, Stella, Judd, Smithson, Morris, di Suvero, Serra”: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una lista di artisti che hanno fatto e condizionato la storia dell’arte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non solo statunitense ma mondiale, come facilmente si evince dai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nomi elencati. Potremmo inoltre, per rendere più precisa la sua posizione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in questa storia, accostare la poetica di di Suvero alle idee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dello scultore e architetto di origini giapponesi Isamu Noguchi (1904-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1988) col quale aveva condiviso amicizia e progetti e, seppure a distanza,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con il grande architetto visionario Richard Buckminster Fuller.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Lo stesso Smithson aveva associato infatti la visione del Park Place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Group di cui aveva fatto parte di Suvero (ne era tra i fondatori), alle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geometrie vettoriali di Fuller, definendo le sue sculture “demolitions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of space-time” (demolizioni dello spazio-tempo).</w:t>
      </w:r>
    </w:p>
    <w:p w14:paraId="2F6D738A" w14:textId="22279927" w:rsid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t>Ad ogni modo non è fuorviante pensare che di Suvero abbia per certi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versi continuato la tradizione delle precedenti generazioni pittoriche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(</w:t>
      </w:r>
      <w:r w:rsidRPr="00057F66">
        <w:rPr>
          <w:rFonts w:cstheme="minorHAnsi"/>
          <w:i/>
          <w:iCs/>
          <w:shd w:val="clear" w:color="auto" w:fill="FFFFFF"/>
        </w:rPr>
        <w:t>action painting</w:t>
      </w:r>
      <w:r w:rsidRPr="00057F66">
        <w:rPr>
          <w:rFonts w:cstheme="minorHAnsi"/>
          <w:shd w:val="clear" w:color="auto" w:fill="FFFFFF"/>
        </w:rPr>
        <w:t xml:space="preserve"> e </w:t>
      </w:r>
      <w:r w:rsidRPr="00057F66">
        <w:rPr>
          <w:rFonts w:cstheme="minorHAnsi"/>
          <w:i/>
          <w:iCs/>
          <w:shd w:val="clear" w:color="auto" w:fill="FFFFFF"/>
        </w:rPr>
        <w:t>hard edge</w:t>
      </w:r>
      <w:r w:rsidRPr="00057F66">
        <w:rPr>
          <w:rFonts w:cstheme="minorHAnsi"/>
          <w:shd w:val="clear" w:color="auto" w:fill="FFFFFF"/>
        </w:rPr>
        <w:t>) utilizzando travi da costruzione e gru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allo stesso modo in cui Kline dipingeva con fascine di saggina e ampi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gesti avendo in mente proprio ponti di ferro e costruzioni tipiche dello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skyline del porto di New York o di zone industriali del fiume Hudson.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i/>
          <w:iCs/>
          <w:shd w:val="clear" w:color="auto" w:fill="FFFFFF"/>
        </w:rPr>
        <w:t>Neruda’s Gate</w:t>
      </w:r>
      <w:r w:rsidRPr="00057F66">
        <w:rPr>
          <w:rFonts w:cstheme="minorHAnsi"/>
          <w:shd w:val="clear" w:color="auto" w:fill="FFFFFF"/>
        </w:rPr>
        <w:t xml:space="preserve"> del 2005 è un esempio unico in tal senso, perché se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Suvero ha sempre prediletto strutture piramidali o sostenute su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travi di acciaio passanti per veri e propri nodi, in un equilibrio mai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precario ma di grande dinamismo (molti elementi nelle sue sculture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sono di fatto mobili e sospesi all’interno di grandi tripodi costruttivi),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quest’opera di fatto è un vero e proprio portale. Una scultura quindi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aperta, attraversabile, una cornice che apre un passaggio all’interno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un contesto naturalistico o metropolitano, in questo caso una piazza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medievale e, nell’immediato futuro, un parco urbano di Todi.</w:t>
      </w:r>
    </w:p>
    <w:p w14:paraId="6728593F" w14:textId="68B40A9A" w:rsid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t>Di fatto nel corso della sua lunga attività, di Suvero ha realizzato pochi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altri portali (a esser sinceri, a parte Blue Arch for Matisse del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1965, altri non ne vengono in mente), senza contare che l’intitolazione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questa opera al poeta cileno deceduto a distanza di dieci giorni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dalla morte del presidente Salvador Allende (di cui il poeta stesso era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amico), durante il golpe di Pinochet del 1973, testimonia il carattere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poetico e politico della scultura di di Suvero. Per inciso, allo sfortunato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presidente cileno, deposto con un colpo di stato sostenuto dalla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 xml:space="preserve">CIA, di Suvero avrebbe dedicato nel 1975 la scultura </w:t>
      </w:r>
      <w:r w:rsidRPr="00057F66">
        <w:rPr>
          <w:rFonts w:cstheme="minorHAnsi"/>
          <w:i/>
          <w:iCs/>
          <w:shd w:val="clear" w:color="auto" w:fill="FFFFFF"/>
        </w:rPr>
        <w:t>Per Allende</w:t>
      </w:r>
      <w:r w:rsidRPr="00057F66">
        <w:rPr>
          <w:rFonts w:cstheme="minorHAnsi"/>
          <w:shd w:val="clear" w:color="auto" w:fill="FFFFFF"/>
        </w:rPr>
        <w:t xml:space="preserve"> oggi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collocata in Francia nel parco di Le Breuil.</w:t>
      </w:r>
    </w:p>
    <w:p w14:paraId="281D9451" w14:textId="68EA7E00" w:rsidR="00057F66" w:rsidRP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(…) </w:t>
      </w:r>
      <w:r w:rsidRPr="00057F66">
        <w:rPr>
          <w:rFonts w:cstheme="minorHAnsi"/>
          <w:shd w:val="clear" w:color="auto" w:fill="FFFFFF"/>
        </w:rPr>
        <w:t>Neruda è solo uno dei tanti poeti a cui di Suvero ha dedicato opere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(Rilke, Marianne Moore, Lao Tzu, Gerard Manley Hopkins, Yeats, Baudelaire, Lorca), senza contare compositori (Schubert, Scarlatti, Beethoven,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Vivaldi, Mozart, Charlie Parker), scienziati (D’Oresme, Galileo, Keplero,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Einstein, Helmholtz, Lobotchevsky) o artisti (quali appunto Matisse 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 xml:space="preserve">Van Gogh, Brancusi e </w:t>
      </w:r>
      <w:r w:rsidRPr="00057F66">
        <w:rPr>
          <w:rFonts w:cstheme="minorHAnsi"/>
          <w:shd w:val="clear" w:color="auto" w:fill="FFFFFF"/>
        </w:rPr>
        <w:lastRenderedPageBreak/>
        <w:t>González), in un pantheon di figure ideali in cui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compaiono anche familiari, amici, tribù di nativi americani, pace, amore,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stelle, costellazioni, molecole. L’immaginario di di Suvero ingloba il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mondo, se non l’universo e le leggi della fisica (una sua scultura del 1997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è intitolata E=mc²), alla ricerca di quel senso panteistico di equilibrio,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massa priva di materia (“dematerializing mass”, massa smaterializzante,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la definisce l’artista), che in Italia solo Alberto Burri aveva saputo intuire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 xml:space="preserve">tra </w:t>
      </w:r>
      <w:r w:rsidR="00863C3B">
        <w:rPr>
          <w:rFonts w:cstheme="minorHAnsi"/>
          <w:shd w:val="clear" w:color="auto" w:fill="FFFFFF"/>
        </w:rPr>
        <w:t xml:space="preserve">gli </w:t>
      </w:r>
      <w:r w:rsidRPr="00057F66">
        <w:rPr>
          <w:rFonts w:cstheme="minorHAnsi"/>
          <w:shd w:val="clear" w:color="auto" w:fill="FFFFFF"/>
        </w:rPr>
        <w:t>anni ’70 e ‘90 creando straordinarie sculture teatrali in ferro color minio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o nere (ancora però poco studiate e sottostimate), che nascevano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dal suo concetto di “equilibrio in tensione”, che pure è stato sempre alla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base dell’ammirata pittura di materia dell’artista umbro.</w:t>
      </w:r>
    </w:p>
    <w:p w14:paraId="0B1DEF1D" w14:textId="2B54C1D9" w:rsidR="00057F66" w:rsidRDefault="00057F66" w:rsidP="00057F6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057F66">
        <w:rPr>
          <w:rFonts w:cstheme="minorHAnsi"/>
          <w:shd w:val="clear" w:color="auto" w:fill="FFFFFF"/>
        </w:rPr>
        <w:t>La scultura di di Suvero non ha intenzioni teatrali o contemplative ma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utilizzo, vuole essere una dichiarazione di partecipazione democratica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per la comunità, non solo di riqualificazione di spazi ma anche di relazioni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umane. La sua disponibilità all’essere vissuta, come testimoniato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 xml:space="preserve">da tante foto d’epoca (da </w:t>
      </w:r>
      <w:r w:rsidRPr="00057F66">
        <w:rPr>
          <w:rFonts w:cstheme="minorHAnsi"/>
          <w:i/>
          <w:iCs/>
          <w:shd w:val="clear" w:color="auto" w:fill="FFFFFF"/>
        </w:rPr>
        <w:t>Bunyon Chess</w:t>
      </w:r>
      <w:r w:rsidRPr="00057F66">
        <w:rPr>
          <w:rFonts w:cstheme="minorHAnsi"/>
          <w:shd w:val="clear" w:color="auto" w:fill="FFFFFF"/>
        </w:rPr>
        <w:t xml:space="preserve"> del 1965 a </w:t>
      </w:r>
      <w:r w:rsidRPr="00057F66">
        <w:rPr>
          <w:rFonts w:cstheme="minorHAnsi"/>
          <w:i/>
          <w:iCs/>
          <w:shd w:val="clear" w:color="auto" w:fill="FFFFFF"/>
        </w:rPr>
        <w:t>Are Years What? (For Marianne Moore)</w:t>
      </w:r>
      <w:r w:rsidRPr="00057F66">
        <w:rPr>
          <w:rFonts w:cstheme="minorHAnsi"/>
          <w:shd w:val="clear" w:color="auto" w:fill="FFFFFF"/>
        </w:rPr>
        <w:t xml:space="preserve"> del 1967 a </w:t>
      </w:r>
      <w:r w:rsidRPr="00057F66">
        <w:rPr>
          <w:rFonts w:cstheme="minorHAnsi"/>
          <w:i/>
          <w:iCs/>
          <w:shd w:val="clear" w:color="auto" w:fill="FFFFFF"/>
        </w:rPr>
        <w:t>Spokenfer</w:t>
      </w:r>
      <w:r w:rsidRPr="00057F66">
        <w:rPr>
          <w:rFonts w:cstheme="minorHAnsi"/>
          <w:shd w:val="clear" w:color="auto" w:fill="FFFFFF"/>
        </w:rPr>
        <w:t xml:space="preserve"> del 1984) che le vedono occupate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interamente da frotte di bambini che le arrampicano o le usano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come scivoli o di adulti che le usano come altalene o sedute, è segno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un impegno pubblico, di un umanesimo che riscatta la provenienza industriale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di quei materiali. Come ha osservato a proposito Melissa Ragain: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“Retoricamente, questi nuovi oggetti partecipativi si rifanno a una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storia di progettazione di parchi giochi progressisti che enfatizzano il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rischio, la responsabilità e la collaborazione democratica. Dal punto di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vista formale, adottano una versione tormentata della griglia modernista,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simile alle geometrie del costruttivismo russo, in opposizione alla</w:t>
      </w:r>
      <w:r>
        <w:rPr>
          <w:rFonts w:cstheme="minorHAnsi"/>
          <w:shd w:val="clear" w:color="auto" w:fill="FFFFFF"/>
        </w:rPr>
        <w:t xml:space="preserve"> </w:t>
      </w:r>
      <w:r w:rsidRPr="00057F66">
        <w:rPr>
          <w:rFonts w:cstheme="minorHAnsi"/>
          <w:shd w:val="clear" w:color="auto" w:fill="FFFFFF"/>
        </w:rPr>
        <w:t>geometria ottica e simmetrica della scultura minimalista</w:t>
      </w:r>
      <w:r>
        <w:rPr>
          <w:rFonts w:cstheme="minorHAnsi"/>
          <w:shd w:val="clear" w:color="auto" w:fill="FFFFFF"/>
        </w:rPr>
        <w:t>.</w:t>
      </w:r>
    </w:p>
    <w:p w14:paraId="4FC497EE" w14:textId="77777777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6E920DED" w14:textId="120BDF3A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Todi (PG), 24 agosto 2024</w:t>
      </w:r>
    </w:p>
    <w:p w14:paraId="4E0E621D" w14:textId="77777777" w:rsidR="00057F66" w:rsidRDefault="00057F6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3B84457C" w14:textId="77777777" w:rsidR="00057F66" w:rsidRPr="00057F66" w:rsidRDefault="00057F66" w:rsidP="00057F66">
      <w:pPr>
        <w:spacing w:after="120" w:line="274" w:lineRule="auto"/>
        <w:jc w:val="both"/>
        <w:rPr>
          <w:rFonts w:cstheme="minorHAnsi"/>
          <w:b/>
          <w:bCs/>
          <w:shd w:val="clear" w:color="auto" w:fill="FFFFFF"/>
        </w:rPr>
      </w:pPr>
      <w:r w:rsidRPr="00057F66">
        <w:rPr>
          <w:rFonts w:cstheme="minorHAnsi"/>
          <w:b/>
          <w:bCs/>
          <w:shd w:val="clear" w:color="auto" w:fill="FFFFFF"/>
        </w:rPr>
        <w:t xml:space="preserve">* Estratto dal testo in catalogo </w:t>
      </w:r>
      <w:r w:rsidRPr="00057F66">
        <w:rPr>
          <w:rFonts w:cstheme="minorHAnsi"/>
          <w:b/>
          <w:bCs/>
          <w:i/>
          <w:iCs/>
          <w:shd w:val="clear" w:color="auto" w:fill="FFFFFF"/>
        </w:rPr>
        <w:t>Mark di Suvero: Spacetime</w:t>
      </w:r>
      <w:r w:rsidRPr="00057F66">
        <w:rPr>
          <w:rFonts w:cstheme="minorHAnsi"/>
          <w:b/>
          <w:bCs/>
          <w:shd w:val="clear" w:color="auto" w:fill="FFFFFF"/>
        </w:rPr>
        <w:t xml:space="preserve"> (Todi, 2024)</w:t>
      </w:r>
    </w:p>
    <w:p w14:paraId="02461DBE" w14:textId="5C6A7638" w:rsidR="00057F66" w:rsidRPr="00AA4AF6" w:rsidRDefault="00057F6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sectPr w:rsidR="00057F66" w:rsidRPr="00AA4AF6" w:rsidSect="00AB04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FC1F2" w14:textId="77777777" w:rsidR="0035326E" w:rsidRDefault="0035326E" w:rsidP="00B14E3D">
      <w:r>
        <w:separator/>
      </w:r>
    </w:p>
  </w:endnote>
  <w:endnote w:type="continuationSeparator" w:id="0">
    <w:p w14:paraId="71D93549" w14:textId="77777777" w:rsidR="0035326E" w:rsidRDefault="0035326E" w:rsidP="00B14E3D">
      <w:r>
        <w:continuationSeparator/>
      </w:r>
    </w:p>
  </w:endnote>
  <w:endnote w:type="continuationNotice" w:id="1">
    <w:p w14:paraId="4BF56592" w14:textId="77777777" w:rsidR="0035326E" w:rsidRDefault="003532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E47DD" w14:textId="77777777" w:rsidR="00020C5E" w:rsidRDefault="00020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87105" w14:textId="77777777" w:rsidR="00020C5E" w:rsidRDefault="00020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869D8" w14:textId="77777777" w:rsidR="00020C5E" w:rsidRDefault="00020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18EEF" w14:textId="77777777" w:rsidR="0035326E" w:rsidRDefault="0035326E" w:rsidP="00B14E3D">
      <w:r>
        <w:separator/>
      </w:r>
    </w:p>
  </w:footnote>
  <w:footnote w:type="continuationSeparator" w:id="0">
    <w:p w14:paraId="1908B4FC" w14:textId="77777777" w:rsidR="0035326E" w:rsidRDefault="0035326E" w:rsidP="00B14E3D">
      <w:r>
        <w:continuationSeparator/>
      </w:r>
    </w:p>
  </w:footnote>
  <w:footnote w:type="continuationNotice" w:id="1">
    <w:p w14:paraId="5F2D1427" w14:textId="77777777" w:rsidR="0035326E" w:rsidRDefault="003532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67CB" w14:textId="77777777" w:rsidR="00020C5E" w:rsidRDefault="00020C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61F14" w14:textId="77777777" w:rsidR="00020C5E" w:rsidRDefault="00020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B14E3D" w14:paraId="61B0695D" w14:textId="77777777" w:rsidTr="00B14E3D">
      <w:tc>
        <w:tcPr>
          <w:tcW w:w="3209" w:type="dxa"/>
          <w:vAlign w:val="center"/>
        </w:tcPr>
        <w:p w14:paraId="5B1B6608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47C7058D" wp14:editId="392CDA39">
                <wp:extent cx="661463" cy="720000"/>
                <wp:effectExtent l="0" t="0" r="5715" b="4445"/>
                <wp:docPr id="1" name="Immagine 1" descr="Immagine che contiene testo, emblema, crest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, emblema, cresta, simbol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463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45263100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08BC9B0C" wp14:editId="4694C2C6">
                <wp:extent cx="1057346" cy="720000"/>
                <wp:effectExtent l="0" t="0" r="0" b="4445"/>
                <wp:docPr id="2" name="Immagine 2" descr="Immagine che contiene nero, oscurità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nero, oscurità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346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5329CA6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5400EE3C" wp14:editId="42C05880">
                <wp:extent cx="1280000" cy="720000"/>
                <wp:effectExtent l="0" t="0" r="0" b="0"/>
                <wp:docPr id="3" name="Immagine 3" descr="Immagine che contiene schermata, cerchio, Elementi grafici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chermata, cerchio, Elementi grafici, grafica&#10;&#10;Descrizione generata automa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110102" w14:textId="77777777" w:rsidR="00B14E3D" w:rsidRDefault="00B14E3D">
    <w:pPr>
      <w:pStyle w:val="Intestazione"/>
    </w:pPr>
  </w:p>
  <w:p w14:paraId="029FDE96" w14:textId="77777777" w:rsidR="00020C5E" w:rsidRDefault="00020C5E">
    <w:pPr>
      <w:pStyle w:val="Intestazione"/>
    </w:pPr>
  </w:p>
  <w:p w14:paraId="669FD373" w14:textId="77777777" w:rsidR="00020C5E" w:rsidRDefault="00020C5E">
    <w:pPr>
      <w:pStyle w:val="Intestazione"/>
    </w:pPr>
  </w:p>
  <w:p w14:paraId="6E032D95" w14:textId="77777777" w:rsidR="00020C5E" w:rsidRDefault="00020C5E">
    <w:pPr>
      <w:pStyle w:val="Intestazione"/>
    </w:pPr>
  </w:p>
  <w:p w14:paraId="7E38C8FD" w14:textId="77777777" w:rsidR="00020C5E" w:rsidRDefault="00020C5E">
    <w:pPr>
      <w:pStyle w:val="Intestazione"/>
    </w:pPr>
  </w:p>
  <w:p w14:paraId="48DF9BD6" w14:textId="77777777" w:rsidR="00020C5E" w:rsidRDefault="00020C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3E"/>
    <w:rsid w:val="00014CD1"/>
    <w:rsid w:val="0001670D"/>
    <w:rsid w:val="00020C5E"/>
    <w:rsid w:val="00057F66"/>
    <w:rsid w:val="000842F2"/>
    <w:rsid w:val="000A47D1"/>
    <w:rsid w:val="000D77D7"/>
    <w:rsid w:val="000E18F2"/>
    <w:rsid w:val="00171C3D"/>
    <w:rsid w:val="001C4139"/>
    <w:rsid w:val="001F391F"/>
    <w:rsid w:val="00205EBB"/>
    <w:rsid w:val="0022293E"/>
    <w:rsid w:val="00226F87"/>
    <w:rsid w:val="002455B3"/>
    <w:rsid w:val="00290EE5"/>
    <w:rsid w:val="0035326E"/>
    <w:rsid w:val="00365B68"/>
    <w:rsid w:val="003B2805"/>
    <w:rsid w:val="003F3B21"/>
    <w:rsid w:val="003F7D27"/>
    <w:rsid w:val="00407ABE"/>
    <w:rsid w:val="00450775"/>
    <w:rsid w:val="0045624D"/>
    <w:rsid w:val="004D74D7"/>
    <w:rsid w:val="004E3FBF"/>
    <w:rsid w:val="005301E7"/>
    <w:rsid w:val="005B5C51"/>
    <w:rsid w:val="005B5CE5"/>
    <w:rsid w:val="0060290D"/>
    <w:rsid w:val="00620629"/>
    <w:rsid w:val="006B0D6B"/>
    <w:rsid w:val="006E2D33"/>
    <w:rsid w:val="0070496C"/>
    <w:rsid w:val="007E2402"/>
    <w:rsid w:val="00814B2E"/>
    <w:rsid w:val="00863C3B"/>
    <w:rsid w:val="00881C01"/>
    <w:rsid w:val="00882ABE"/>
    <w:rsid w:val="00891ECE"/>
    <w:rsid w:val="008A6839"/>
    <w:rsid w:val="008D3FDA"/>
    <w:rsid w:val="009125C4"/>
    <w:rsid w:val="009149DC"/>
    <w:rsid w:val="0096785A"/>
    <w:rsid w:val="00975EAE"/>
    <w:rsid w:val="009B6A9B"/>
    <w:rsid w:val="009C4858"/>
    <w:rsid w:val="009E6621"/>
    <w:rsid w:val="00A11F00"/>
    <w:rsid w:val="00A134E7"/>
    <w:rsid w:val="00A91E01"/>
    <w:rsid w:val="00A95E30"/>
    <w:rsid w:val="00AA4AF6"/>
    <w:rsid w:val="00AB04B5"/>
    <w:rsid w:val="00B14E3D"/>
    <w:rsid w:val="00B47281"/>
    <w:rsid w:val="00B55082"/>
    <w:rsid w:val="00B7344C"/>
    <w:rsid w:val="00BB349F"/>
    <w:rsid w:val="00BE637F"/>
    <w:rsid w:val="00C87631"/>
    <w:rsid w:val="00D07B23"/>
    <w:rsid w:val="00D749F6"/>
    <w:rsid w:val="00D90114"/>
    <w:rsid w:val="00DC257A"/>
    <w:rsid w:val="00DE7BE0"/>
    <w:rsid w:val="00E255D9"/>
    <w:rsid w:val="00E4098F"/>
    <w:rsid w:val="00E43A83"/>
    <w:rsid w:val="00E536AA"/>
    <w:rsid w:val="00E57A0F"/>
    <w:rsid w:val="00E57CFF"/>
    <w:rsid w:val="00E63E0F"/>
    <w:rsid w:val="00E6468A"/>
    <w:rsid w:val="00E67106"/>
    <w:rsid w:val="00E96046"/>
    <w:rsid w:val="00ED0506"/>
    <w:rsid w:val="00ED6D2F"/>
    <w:rsid w:val="00F04789"/>
    <w:rsid w:val="00F55C52"/>
    <w:rsid w:val="00FA0752"/>
    <w:rsid w:val="00FA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163A9"/>
  <w15:docId w15:val="{8F955BF3-7682-41EC-83B1-F2527FE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2293E"/>
  </w:style>
  <w:style w:type="character" w:styleId="Collegamentoipertestuale">
    <w:name w:val="Hyperlink"/>
    <w:basedOn w:val="Carpredefinitoparagrafo"/>
    <w:uiPriority w:val="99"/>
    <w:unhideWhenUsed/>
    <w:rsid w:val="00ED050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0506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57A0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4E3D"/>
  </w:style>
  <w:style w:type="paragraph" w:styleId="Pidipagina">
    <w:name w:val="footer"/>
    <w:basedOn w:val="Normale"/>
    <w:link w:val="Pidipagina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E3D"/>
  </w:style>
  <w:style w:type="table" w:styleId="Grigliatabella">
    <w:name w:val="Table Grid"/>
    <w:basedOn w:val="Tabellanormale"/>
    <w:uiPriority w:val="39"/>
    <w:rsid w:val="00B14E3D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57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9F2F8-6701-470A-B44D-A68EB4614E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69FEF-BF88-4C21-B104-40BAACA09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59191-7FEF-4FD6-AB2F-DE6B438FB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tonelli</dc:creator>
  <cp:keywords/>
  <dc:description/>
  <cp:lastModifiedBy>Microsoft Office User</cp:lastModifiedBy>
  <cp:revision>4</cp:revision>
  <cp:lastPrinted>2024-04-23T10:15:00Z</cp:lastPrinted>
  <dcterms:created xsi:type="dcterms:W3CDTF">2024-08-21T08:51:00Z</dcterms:created>
  <dcterms:modified xsi:type="dcterms:W3CDTF">2024-08-22T10:25:00Z</dcterms:modified>
</cp:coreProperties>
</file>