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8AB520" w14:textId="77777777" w:rsidR="000B1A3E" w:rsidRPr="000B1A3E" w:rsidRDefault="000B1A3E" w:rsidP="00D308C7">
      <w:pPr>
        <w:jc w:val="both"/>
        <w:rPr>
          <w:rFonts w:ascii="Sailec Regular" w:hAnsi="Sailec Regular" w:cstheme="minorHAnsi"/>
          <w:b/>
          <w:bCs/>
        </w:rPr>
      </w:pPr>
      <w:r w:rsidRPr="000B1A3E">
        <w:rPr>
          <w:rFonts w:ascii="Sailec Regular" w:hAnsi="Sailec Regular" w:cstheme="minorHAnsi"/>
          <w:b/>
          <w:bCs/>
        </w:rPr>
        <w:t>FONDAZIONE CARIPT</w:t>
      </w:r>
    </w:p>
    <w:p w14:paraId="29BA7D9E" w14:textId="77777777" w:rsidR="000B1A3E" w:rsidRDefault="000B1A3E" w:rsidP="00D308C7">
      <w:pPr>
        <w:jc w:val="both"/>
        <w:rPr>
          <w:rFonts w:ascii="Sailec Regular" w:hAnsi="Sailec Regular" w:cstheme="minorHAnsi"/>
          <w:b/>
          <w:bCs/>
          <w:sz w:val="21"/>
          <w:szCs w:val="21"/>
        </w:rPr>
      </w:pPr>
    </w:p>
    <w:p w14:paraId="26001969" w14:textId="3F57E35F" w:rsidR="00D308C7" w:rsidRPr="00C872D3" w:rsidRDefault="00D308C7" w:rsidP="00D308C7">
      <w:pPr>
        <w:jc w:val="both"/>
        <w:rPr>
          <w:rFonts w:ascii="Sailec Regular" w:hAnsi="Sailec Regular" w:cstheme="minorHAnsi"/>
          <w:sz w:val="21"/>
          <w:szCs w:val="21"/>
        </w:rPr>
      </w:pPr>
      <w:r w:rsidRPr="00C872D3">
        <w:rPr>
          <w:rFonts w:ascii="Sailec Regular" w:hAnsi="Sailec Regular" w:cstheme="minorHAnsi"/>
          <w:b/>
          <w:bCs/>
          <w:sz w:val="21"/>
          <w:szCs w:val="21"/>
        </w:rPr>
        <w:t xml:space="preserve">Fondazione </w:t>
      </w:r>
      <w:proofErr w:type="spellStart"/>
      <w:r w:rsidRPr="00C872D3">
        <w:rPr>
          <w:rFonts w:ascii="Sailec Regular" w:hAnsi="Sailec Regular" w:cstheme="minorHAnsi"/>
          <w:b/>
          <w:bCs/>
          <w:sz w:val="21"/>
          <w:szCs w:val="21"/>
        </w:rPr>
        <w:t>Caript</w:t>
      </w:r>
      <w:proofErr w:type="spellEnd"/>
      <w:r w:rsidRPr="00C872D3">
        <w:rPr>
          <w:rFonts w:ascii="Sailec Regular" w:hAnsi="Sailec Regular" w:cstheme="minorHAnsi"/>
          <w:sz w:val="21"/>
          <w:szCs w:val="21"/>
        </w:rPr>
        <w:t xml:space="preserve"> è un ente privato no profit che opera per il benessere, la crescita e la valorizzazione del territorio. Punto di riferimento fondamentale per la sua capacità di intervento, </w:t>
      </w:r>
      <w:r w:rsidRPr="00C872D3">
        <w:rPr>
          <w:rFonts w:ascii="Sailec Regular" w:hAnsi="Sailec Regular" w:cstheme="minorHAnsi"/>
          <w:b/>
          <w:bCs/>
          <w:sz w:val="21"/>
          <w:szCs w:val="21"/>
        </w:rPr>
        <w:t>realizza progetti propri e concede contributi a fondo perduto a enti pubblici e organizzazioni del terzo settore</w:t>
      </w:r>
      <w:r w:rsidRPr="00C872D3">
        <w:rPr>
          <w:rFonts w:ascii="Sailec Regular" w:hAnsi="Sailec Regular" w:cstheme="minorHAnsi"/>
          <w:sz w:val="21"/>
          <w:szCs w:val="21"/>
        </w:rPr>
        <w:t>, operando prevalentemente su Pistoia e provincia in cinque aree distinte: sviluppo e innovazione, cultura, sociale, formazione e ricerca, salute.</w:t>
      </w:r>
    </w:p>
    <w:p w14:paraId="6CDBA1B1" w14:textId="77777777" w:rsidR="00D308C7" w:rsidRPr="00C872D3" w:rsidRDefault="00D308C7" w:rsidP="00D308C7">
      <w:pPr>
        <w:jc w:val="both"/>
        <w:rPr>
          <w:rFonts w:ascii="Sailec Regular" w:hAnsi="Sailec Regular" w:cstheme="minorHAnsi"/>
          <w:sz w:val="21"/>
          <w:szCs w:val="21"/>
        </w:rPr>
      </w:pPr>
    </w:p>
    <w:p w14:paraId="40D6E741" w14:textId="77777777" w:rsidR="00D308C7" w:rsidRPr="00C872D3" w:rsidRDefault="00D308C7" w:rsidP="00D308C7">
      <w:pPr>
        <w:jc w:val="both"/>
        <w:rPr>
          <w:rFonts w:ascii="Sailec Regular" w:hAnsi="Sailec Regular" w:cstheme="minorHAnsi"/>
          <w:sz w:val="21"/>
          <w:szCs w:val="21"/>
        </w:rPr>
      </w:pPr>
      <w:r w:rsidRPr="00C872D3">
        <w:rPr>
          <w:rFonts w:ascii="Sailec Regular" w:hAnsi="Sailec Regular" w:cstheme="minorHAnsi"/>
          <w:sz w:val="21"/>
          <w:szCs w:val="21"/>
        </w:rPr>
        <w:t xml:space="preserve">Dal 1992 – anno della sua nascita a seguito del riordino del sistema bancario – Fondazione </w:t>
      </w:r>
      <w:proofErr w:type="spellStart"/>
      <w:r w:rsidRPr="00C872D3">
        <w:rPr>
          <w:rFonts w:ascii="Sailec Regular" w:hAnsi="Sailec Regular" w:cstheme="minorHAnsi"/>
          <w:sz w:val="21"/>
          <w:szCs w:val="21"/>
        </w:rPr>
        <w:t>Caript</w:t>
      </w:r>
      <w:proofErr w:type="spellEnd"/>
      <w:r w:rsidRPr="00C872D3">
        <w:rPr>
          <w:rFonts w:ascii="Sailec Regular" w:hAnsi="Sailec Regular" w:cstheme="minorHAnsi"/>
          <w:sz w:val="21"/>
          <w:szCs w:val="21"/>
        </w:rPr>
        <w:t xml:space="preserve"> è impegnata nel </w:t>
      </w:r>
      <w:r w:rsidRPr="00C872D3">
        <w:rPr>
          <w:rFonts w:ascii="Sailec Regular" w:hAnsi="Sailec Regular" w:cstheme="minorHAnsi"/>
          <w:b/>
          <w:bCs/>
          <w:sz w:val="21"/>
          <w:szCs w:val="21"/>
        </w:rPr>
        <w:t>sostegno del welfare comunitario e della crescita culturale e sociale del territorio</w:t>
      </w:r>
      <w:r w:rsidRPr="00C872D3">
        <w:rPr>
          <w:rFonts w:ascii="Sailec Regular" w:hAnsi="Sailec Regular" w:cstheme="minorHAnsi"/>
          <w:sz w:val="21"/>
          <w:szCs w:val="21"/>
        </w:rPr>
        <w:t>, con il dovere di assicurare il miglior livello di efficienza nell’impiego delle risorse disponibili, affiancando le organizzazioni della società civile che agiscono per il bene pubblico, e operando in sintonia con le realtà locali.</w:t>
      </w:r>
    </w:p>
    <w:p w14:paraId="0F728E72" w14:textId="77777777" w:rsidR="00D308C7" w:rsidRPr="00C872D3" w:rsidRDefault="00D308C7" w:rsidP="00D308C7">
      <w:pPr>
        <w:jc w:val="both"/>
        <w:rPr>
          <w:rFonts w:ascii="Sailec Regular" w:hAnsi="Sailec Regular" w:cstheme="minorHAnsi"/>
          <w:sz w:val="21"/>
          <w:szCs w:val="21"/>
        </w:rPr>
      </w:pPr>
    </w:p>
    <w:p w14:paraId="38CF591F" w14:textId="607B41A1" w:rsidR="00D308C7" w:rsidRPr="00C872D3" w:rsidRDefault="00D308C7" w:rsidP="00D308C7">
      <w:pPr>
        <w:jc w:val="both"/>
        <w:rPr>
          <w:rFonts w:ascii="Sailec Regular" w:hAnsi="Sailec Regular" w:cstheme="minorHAnsi"/>
          <w:sz w:val="21"/>
          <w:szCs w:val="21"/>
        </w:rPr>
      </w:pPr>
      <w:r w:rsidRPr="00C872D3">
        <w:rPr>
          <w:rFonts w:ascii="Sailec Regular" w:hAnsi="Sailec Regular" w:cstheme="minorHAnsi"/>
          <w:sz w:val="21"/>
          <w:szCs w:val="21"/>
        </w:rPr>
        <w:t xml:space="preserve">Nei suoi trent’anni di attività Fondazione </w:t>
      </w:r>
      <w:proofErr w:type="spellStart"/>
      <w:r w:rsidRPr="00C872D3">
        <w:rPr>
          <w:rFonts w:ascii="Sailec Regular" w:hAnsi="Sailec Regular" w:cstheme="minorHAnsi"/>
          <w:sz w:val="21"/>
          <w:szCs w:val="21"/>
        </w:rPr>
        <w:t>Caript</w:t>
      </w:r>
      <w:proofErr w:type="spellEnd"/>
      <w:r w:rsidRPr="00C872D3">
        <w:rPr>
          <w:rFonts w:ascii="Sailec Regular" w:hAnsi="Sailec Regular" w:cstheme="minorHAnsi"/>
          <w:sz w:val="21"/>
          <w:szCs w:val="21"/>
        </w:rPr>
        <w:t xml:space="preserve"> </w:t>
      </w:r>
      <w:r w:rsidRPr="00C872D3">
        <w:rPr>
          <w:rFonts w:ascii="Sailec Regular" w:hAnsi="Sailec Regular" w:cstheme="minorHAnsi"/>
          <w:b/>
          <w:bCs/>
          <w:sz w:val="21"/>
          <w:szCs w:val="21"/>
        </w:rPr>
        <w:t>ha erogato risorse per 280 milioni di euro</w:t>
      </w:r>
      <w:r w:rsidRPr="00C872D3">
        <w:rPr>
          <w:rFonts w:ascii="Sailec Regular" w:hAnsi="Sailec Regular" w:cstheme="minorHAnsi"/>
          <w:sz w:val="21"/>
          <w:szCs w:val="21"/>
        </w:rPr>
        <w:t>, consentendo</w:t>
      </w:r>
      <w:r w:rsidRPr="00C872D3">
        <w:rPr>
          <w:rFonts w:ascii="Sailec Regular" w:hAnsi="Sailec Regular" w:cstheme="minorHAnsi"/>
          <w:b/>
          <w:bCs/>
          <w:sz w:val="21"/>
          <w:szCs w:val="21"/>
        </w:rPr>
        <w:t xml:space="preserve"> </w:t>
      </w:r>
      <w:r w:rsidRPr="00C872D3">
        <w:rPr>
          <w:rFonts w:ascii="Sailec Regular" w:hAnsi="Sailec Regular" w:cstheme="minorHAnsi"/>
          <w:sz w:val="21"/>
          <w:szCs w:val="21"/>
        </w:rPr>
        <w:t>nella provincia di Pistoia</w:t>
      </w:r>
      <w:r w:rsidRPr="00C872D3">
        <w:rPr>
          <w:rFonts w:ascii="Sailec Regular" w:hAnsi="Sailec Regular" w:cstheme="minorHAnsi"/>
          <w:b/>
          <w:bCs/>
          <w:sz w:val="21"/>
          <w:szCs w:val="21"/>
        </w:rPr>
        <w:t xml:space="preserve"> </w:t>
      </w:r>
      <w:r w:rsidRPr="00C872D3">
        <w:rPr>
          <w:rFonts w:ascii="Sailec Regular" w:hAnsi="Sailec Regular" w:cstheme="minorHAnsi"/>
          <w:sz w:val="21"/>
          <w:szCs w:val="21"/>
        </w:rPr>
        <w:t>la realizzazione di</w:t>
      </w:r>
      <w:r w:rsidRPr="00C872D3">
        <w:rPr>
          <w:rFonts w:ascii="Sailec Regular" w:hAnsi="Sailec Regular" w:cstheme="minorHAnsi"/>
          <w:b/>
          <w:bCs/>
          <w:sz w:val="21"/>
          <w:szCs w:val="21"/>
        </w:rPr>
        <w:t xml:space="preserve"> oltre 8mila progetti con una ricaduta economica stimata fino a 870 milioni</w:t>
      </w:r>
      <w:r w:rsidRPr="00C872D3">
        <w:rPr>
          <w:rFonts w:ascii="Sailec Regular" w:hAnsi="Sailec Regular" w:cstheme="minorHAnsi"/>
          <w:sz w:val="21"/>
          <w:szCs w:val="21"/>
        </w:rPr>
        <w:t xml:space="preserve"> (fonte: </w:t>
      </w:r>
      <w:proofErr w:type="spellStart"/>
      <w:r w:rsidRPr="00C872D3">
        <w:rPr>
          <w:rFonts w:ascii="Sailec Regular" w:hAnsi="Sailec Regular" w:cstheme="minorHAnsi"/>
          <w:sz w:val="21"/>
          <w:szCs w:val="21"/>
        </w:rPr>
        <w:t>Sinloc</w:t>
      </w:r>
      <w:proofErr w:type="spellEnd"/>
      <w:r w:rsidRPr="00C872D3">
        <w:rPr>
          <w:rFonts w:ascii="Sailec Regular" w:hAnsi="Sailec Regular" w:cstheme="minorHAnsi"/>
          <w:sz w:val="21"/>
          <w:szCs w:val="21"/>
        </w:rPr>
        <w:t>). Nel 202</w:t>
      </w:r>
      <w:r w:rsidR="005650EA">
        <w:rPr>
          <w:rFonts w:ascii="Sailec Regular" w:hAnsi="Sailec Regular" w:cstheme="minorHAnsi"/>
          <w:sz w:val="21"/>
          <w:szCs w:val="21"/>
        </w:rPr>
        <w:t>2</w:t>
      </w:r>
      <w:r w:rsidRPr="00C872D3">
        <w:rPr>
          <w:rFonts w:ascii="Sailec Regular" w:hAnsi="Sailec Regular" w:cstheme="minorHAnsi"/>
          <w:sz w:val="21"/>
          <w:szCs w:val="21"/>
        </w:rPr>
        <w:t xml:space="preserve"> il patrimonio di Fondazione </w:t>
      </w:r>
      <w:proofErr w:type="spellStart"/>
      <w:r w:rsidRPr="00C872D3">
        <w:rPr>
          <w:rFonts w:ascii="Sailec Regular" w:hAnsi="Sailec Regular" w:cstheme="minorHAnsi"/>
          <w:sz w:val="21"/>
          <w:szCs w:val="21"/>
        </w:rPr>
        <w:t>Caript</w:t>
      </w:r>
      <w:proofErr w:type="spellEnd"/>
      <w:r w:rsidRPr="00C872D3">
        <w:rPr>
          <w:rFonts w:ascii="Sailec Regular" w:hAnsi="Sailec Regular" w:cstheme="minorHAnsi"/>
          <w:sz w:val="21"/>
          <w:szCs w:val="21"/>
        </w:rPr>
        <w:t xml:space="preserve"> si è assestato a 424 milioni e per il 202</w:t>
      </w:r>
      <w:r w:rsidR="005650EA">
        <w:rPr>
          <w:rFonts w:ascii="Sailec Regular" w:hAnsi="Sailec Regular" w:cstheme="minorHAnsi"/>
          <w:sz w:val="21"/>
          <w:szCs w:val="21"/>
        </w:rPr>
        <w:t>4</w:t>
      </w:r>
      <w:r w:rsidRPr="00C872D3">
        <w:rPr>
          <w:rFonts w:ascii="Sailec Regular" w:hAnsi="Sailec Regular" w:cstheme="minorHAnsi"/>
          <w:sz w:val="21"/>
          <w:szCs w:val="21"/>
        </w:rPr>
        <w:t xml:space="preserve"> sono previste erogazioni per 12</w:t>
      </w:r>
      <w:r w:rsidR="005650EA">
        <w:rPr>
          <w:rFonts w:ascii="Sailec Regular" w:hAnsi="Sailec Regular" w:cstheme="minorHAnsi"/>
          <w:sz w:val="21"/>
          <w:szCs w:val="21"/>
        </w:rPr>
        <w:t>,5</w:t>
      </w:r>
      <w:r w:rsidRPr="00C872D3">
        <w:rPr>
          <w:rFonts w:ascii="Sailec Regular" w:hAnsi="Sailec Regular" w:cstheme="minorHAnsi"/>
          <w:sz w:val="21"/>
          <w:szCs w:val="21"/>
        </w:rPr>
        <w:t xml:space="preserve"> milioni.</w:t>
      </w:r>
    </w:p>
    <w:p w14:paraId="059ACC76" w14:textId="77777777" w:rsidR="00D308C7" w:rsidRPr="00C872D3" w:rsidRDefault="00D308C7" w:rsidP="00D308C7">
      <w:pPr>
        <w:jc w:val="both"/>
        <w:rPr>
          <w:rFonts w:ascii="Sailec Regular" w:hAnsi="Sailec Regular" w:cstheme="minorHAnsi"/>
          <w:sz w:val="21"/>
          <w:szCs w:val="21"/>
        </w:rPr>
      </w:pPr>
    </w:p>
    <w:p w14:paraId="1EA28850" w14:textId="77777777" w:rsidR="00D308C7" w:rsidRPr="00C872D3" w:rsidRDefault="00D308C7" w:rsidP="00D308C7">
      <w:pPr>
        <w:jc w:val="both"/>
        <w:rPr>
          <w:rFonts w:ascii="Sailec Regular" w:hAnsi="Sailec Regular" w:cstheme="minorHAnsi"/>
          <w:sz w:val="21"/>
          <w:szCs w:val="21"/>
        </w:rPr>
      </w:pPr>
      <w:r w:rsidRPr="00C872D3">
        <w:rPr>
          <w:rFonts w:ascii="Sailec Regular" w:hAnsi="Sailec Regular" w:cstheme="minorHAnsi"/>
          <w:sz w:val="21"/>
          <w:szCs w:val="21"/>
        </w:rPr>
        <w:t xml:space="preserve">La missione di Fondazione </w:t>
      </w:r>
      <w:proofErr w:type="spellStart"/>
      <w:r w:rsidRPr="00C872D3">
        <w:rPr>
          <w:rFonts w:ascii="Sailec Regular" w:hAnsi="Sailec Regular" w:cstheme="minorHAnsi"/>
          <w:sz w:val="21"/>
          <w:szCs w:val="21"/>
        </w:rPr>
        <w:t>Caript</w:t>
      </w:r>
      <w:proofErr w:type="spellEnd"/>
      <w:r w:rsidRPr="00C872D3">
        <w:rPr>
          <w:rFonts w:ascii="Sailec Regular" w:hAnsi="Sailec Regular" w:cstheme="minorHAnsi"/>
          <w:sz w:val="21"/>
          <w:szCs w:val="21"/>
        </w:rPr>
        <w:t xml:space="preserve"> si compie anche attraverso la promozione e il supporto alle attività di tre enti strumentali che operano in settori specifici:</w:t>
      </w:r>
    </w:p>
    <w:p w14:paraId="3928E70C" w14:textId="77777777" w:rsidR="005650EA" w:rsidRDefault="00D308C7" w:rsidP="005650EA">
      <w:pPr>
        <w:spacing w:before="120"/>
        <w:jc w:val="both"/>
        <w:rPr>
          <w:rFonts w:ascii="Sailec Regular" w:hAnsi="Sailec Regular" w:cstheme="minorHAnsi"/>
          <w:sz w:val="21"/>
          <w:szCs w:val="21"/>
        </w:rPr>
      </w:pPr>
      <w:r w:rsidRPr="00C872D3">
        <w:rPr>
          <w:rFonts w:ascii="Sailec Regular" w:hAnsi="Sailec Regular" w:cstheme="minorHAnsi"/>
          <w:b/>
          <w:bCs/>
          <w:sz w:val="21"/>
          <w:szCs w:val="21"/>
        </w:rPr>
        <w:t>Pistoia Musei</w:t>
      </w:r>
      <w:r w:rsidRPr="00C872D3">
        <w:rPr>
          <w:rFonts w:ascii="Sailec Regular" w:hAnsi="Sailec Regular" w:cstheme="minorHAnsi"/>
          <w:sz w:val="21"/>
          <w:szCs w:val="21"/>
        </w:rPr>
        <w:t>, che si occupa di promuovere arte e cultura attraverso musei, collezioni permanenti e un calendario di mostre e iniziative articolato sulle quattro sedi di Palazzo de’ Rossi, Antico Palazzo dei Vescovi, Palazzo Buontalenti e San Salvatore.</w:t>
      </w:r>
    </w:p>
    <w:p w14:paraId="7B5CF066" w14:textId="77777777" w:rsidR="005650EA" w:rsidRDefault="00D308C7" w:rsidP="005650EA">
      <w:pPr>
        <w:spacing w:before="120"/>
        <w:jc w:val="both"/>
        <w:rPr>
          <w:rFonts w:ascii="Sailec Regular" w:hAnsi="Sailec Regular" w:cstheme="minorHAnsi"/>
          <w:sz w:val="21"/>
          <w:szCs w:val="21"/>
        </w:rPr>
      </w:pPr>
      <w:proofErr w:type="spellStart"/>
      <w:r w:rsidRPr="00C872D3">
        <w:rPr>
          <w:rFonts w:ascii="Sailec Regular" w:hAnsi="Sailec Regular" w:cstheme="minorHAnsi"/>
          <w:b/>
          <w:bCs/>
          <w:sz w:val="21"/>
          <w:szCs w:val="21"/>
        </w:rPr>
        <w:t>Uniser</w:t>
      </w:r>
      <w:proofErr w:type="spellEnd"/>
      <w:r w:rsidRPr="00C872D3">
        <w:rPr>
          <w:rFonts w:ascii="Sailec Regular" w:hAnsi="Sailec Regular" w:cstheme="minorHAnsi"/>
          <w:sz w:val="21"/>
          <w:szCs w:val="21"/>
        </w:rPr>
        <w:t>, polo per la ricerca, l’innovazione e l’alta formazione, fra i cui progetti spicca CARME, il centro per la ricerca sulla didattica della matematica;</w:t>
      </w:r>
    </w:p>
    <w:p w14:paraId="5B3C1E49" w14:textId="05ADE5FE" w:rsidR="00D308C7" w:rsidRPr="00C872D3" w:rsidRDefault="00D308C7" w:rsidP="005650EA">
      <w:pPr>
        <w:spacing w:before="120"/>
        <w:jc w:val="both"/>
        <w:rPr>
          <w:rFonts w:ascii="Sailec Regular" w:hAnsi="Sailec Regular" w:cstheme="minorHAnsi"/>
          <w:sz w:val="21"/>
          <w:szCs w:val="21"/>
        </w:rPr>
      </w:pPr>
      <w:r w:rsidRPr="00C872D3">
        <w:rPr>
          <w:rFonts w:ascii="Sailec Regular" w:hAnsi="Sailec Regular" w:cstheme="minorHAnsi"/>
          <w:b/>
          <w:bCs/>
          <w:sz w:val="21"/>
          <w:szCs w:val="21"/>
        </w:rPr>
        <w:t>Gea</w:t>
      </w:r>
      <w:r w:rsidRPr="00C872D3">
        <w:rPr>
          <w:rFonts w:ascii="Sailec Regular" w:hAnsi="Sailec Regular" w:cstheme="minorHAnsi"/>
          <w:sz w:val="21"/>
          <w:szCs w:val="21"/>
        </w:rPr>
        <w:t xml:space="preserve"> (Green Economy and </w:t>
      </w:r>
      <w:proofErr w:type="spellStart"/>
      <w:r w:rsidRPr="00C872D3">
        <w:rPr>
          <w:rFonts w:ascii="Sailec Regular" w:hAnsi="Sailec Regular" w:cstheme="minorHAnsi"/>
          <w:sz w:val="21"/>
          <w:szCs w:val="21"/>
        </w:rPr>
        <w:t>Agriculture</w:t>
      </w:r>
      <w:proofErr w:type="spellEnd"/>
      <w:r w:rsidRPr="00C872D3">
        <w:rPr>
          <w:rFonts w:ascii="Sailec Regular" w:hAnsi="Sailec Regular" w:cstheme="minorHAnsi"/>
          <w:sz w:val="21"/>
          <w:szCs w:val="21"/>
        </w:rPr>
        <w:t>), società di gestione di un parco di 25 ettari con attività sociali, di ricerca e didattica nei settori dell’agricoltura sostenibile, dell’energia rinnovabile e dell’economia circolare.</w:t>
      </w:r>
    </w:p>
    <w:p w14:paraId="2C62C09F" w14:textId="77777777" w:rsidR="00D308C7" w:rsidRPr="00C872D3" w:rsidRDefault="00D308C7" w:rsidP="00D308C7">
      <w:pPr>
        <w:jc w:val="both"/>
        <w:rPr>
          <w:rFonts w:ascii="Sailec Regular" w:hAnsi="Sailec Regular" w:cstheme="minorHAnsi"/>
          <w:sz w:val="21"/>
          <w:szCs w:val="21"/>
        </w:rPr>
      </w:pPr>
    </w:p>
    <w:p w14:paraId="5C27BD33" w14:textId="18D31F8F" w:rsidR="00663DF5" w:rsidRPr="000B1A3E" w:rsidRDefault="00D308C7" w:rsidP="000B1A3E">
      <w:pPr>
        <w:jc w:val="both"/>
        <w:rPr>
          <w:rFonts w:ascii="Sailec Regular" w:hAnsi="Sailec Regular" w:cstheme="minorHAnsi"/>
          <w:sz w:val="21"/>
          <w:szCs w:val="21"/>
        </w:rPr>
      </w:pPr>
      <w:r w:rsidRPr="00C872D3">
        <w:rPr>
          <w:rFonts w:ascii="Sailec Regular" w:hAnsi="Sailec Regular" w:cstheme="minorHAnsi"/>
          <w:sz w:val="21"/>
          <w:szCs w:val="21"/>
        </w:rPr>
        <w:t xml:space="preserve">Negli ultimi anni Fondazione </w:t>
      </w:r>
      <w:proofErr w:type="spellStart"/>
      <w:r w:rsidRPr="00C872D3">
        <w:rPr>
          <w:rFonts w:ascii="Sailec Regular" w:hAnsi="Sailec Regular" w:cstheme="minorHAnsi"/>
          <w:sz w:val="21"/>
          <w:szCs w:val="21"/>
        </w:rPr>
        <w:t>Caript</w:t>
      </w:r>
      <w:proofErr w:type="spellEnd"/>
      <w:r w:rsidRPr="00C872D3">
        <w:rPr>
          <w:rFonts w:ascii="Sailec Regular" w:hAnsi="Sailec Regular" w:cstheme="minorHAnsi"/>
          <w:sz w:val="21"/>
          <w:szCs w:val="21"/>
        </w:rPr>
        <w:t xml:space="preserve"> e i suoi enti strumentali </w:t>
      </w:r>
      <w:r w:rsidRPr="00C872D3">
        <w:rPr>
          <w:rFonts w:ascii="Sailec Regular" w:hAnsi="Sailec Regular" w:cstheme="minorHAnsi"/>
          <w:b/>
          <w:bCs/>
          <w:sz w:val="21"/>
          <w:szCs w:val="21"/>
        </w:rPr>
        <w:t>stanno privilegiando interventi di ampio respiro</w:t>
      </w:r>
      <w:r w:rsidRPr="00C872D3">
        <w:rPr>
          <w:rFonts w:ascii="Sailec Regular" w:hAnsi="Sailec Regular" w:cstheme="minorHAnsi"/>
          <w:sz w:val="21"/>
          <w:szCs w:val="21"/>
        </w:rPr>
        <w:t>, anche a carattere pluriennale, rafforzando il proprio impegno nella progettazione di attività in sinergia con le altre istituzioni.</w:t>
      </w:r>
    </w:p>
    <w:sectPr w:rsidR="00663DF5" w:rsidRPr="000B1A3E" w:rsidSect="00DD7209">
      <w:headerReference w:type="even" r:id="rId9"/>
      <w:headerReference w:type="default" r:id="rId10"/>
      <w:headerReference w:type="first" r:id="rId11"/>
      <w:pgSz w:w="11906" w:h="16838"/>
      <w:pgMar w:top="1342" w:right="1590" w:bottom="1693" w:left="1593" w:header="1342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29DE" w14:textId="77777777" w:rsidR="00DD7209" w:rsidRDefault="00DD7209">
      <w:r>
        <w:separator/>
      </w:r>
    </w:p>
  </w:endnote>
  <w:endnote w:type="continuationSeparator" w:id="0">
    <w:p w14:paraId="2D41B710" w14:textId="77777777" w:rsidR="00DD7209" w:rsidRDefault="00DD7209">
      <w:r>
        <w:continuationSeparator/>
      </w:r>
    </w:p>
  </w:endnote>
  <w:endnote w:type="continuationNotice" w:id="1">
    <w:p w14:paraId="446ABC21" w14:textId="77777777" w:rsidR="00DD7209" w:rsidRDefault="00DD72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ilec Regular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13E5" w14:textId="77777777" w:rsidR="00DD7209" w:rsidRDefault="00DD7209">
      <w:r>
        <w:separator/>
      </w:r>
    </w:p>
  </w:footnote>
  <w:footnote w:type="continuationSeparator" w:id="0">
    <w:p w14:paraId="2D46A97B" w14:textId="77777777" w:rsidR="00DD7209" w:rsidRDefault="00DD7209">
      <w:r>
        <w:continuationSeparator/>
      </w:r>
    </w:p>
  </w:footnote>
  <w:footnote w:type="continuationNotice" w:id="1">
    <w:p w14:paraId="6496AB94" w14:textId="77777777" w:rsidR="00DD7209" w:rsidRDefault="00DD72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3CFE" w14:textId="77777777" w:rsidR="00F66A82" w:rsidRDefault="00F66A82">
    <w:pPr>
      <w:pStyle w:val="Intestazione"/>
    </w:pPr>
  </w:p>
  <w:p w14:paraId="0AB9BDF8" w14:textId="61DE6721" w:rsidR="00D048AC" w:rsidRDefault="00D048AC"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340DBDA4" wp14:editId="2507127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13" name="Rettangolo 13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6du="http://schemas.microsoft.com/office/word/2023/wordml/word16du">
          <w:pict>
            <v:rect w14:anchorId="43F2498A" id="Rettangolo 13" o:spid="_x0000_s1026" style="position:absolute;margin-left:0;margin-top:0;width:0;height:0;z-index:-251658239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7D450" w14:textId="77777777" w:rsidR="00263810" w:rsidRDefault="00F66A82" w:rsidP="003455E6">
    <w:pPr>
      <w:pStyle w:val="Intestazione"/>
    </w:pPr>
    <w:r>
      <w:rPr>
        <w:noProof/>
      </w:rPr>
      <w:drawing>
        <wp:anchor distT="0" distB="0" distL="0" distR="0" simplePos="0" relativeHeight="251658243" behindDoc="0" locked="0" layoutInCell="1" allowOverlap="1" wp14:anchorId="33FEFB1F" wp14:editId="53D525B7">
          <wp:simplePos x="0" y="0"/>
          <wp:positionH relativeFrom="column">
            <wp:posOffset>-1010920</wp:posOffset>
          </wp:positionH>
          <wp:positionV relativeFrom="paragraph">
            <wp:posOffset>-935990</wp:posOffset>
          </wp:positionV>
          <wp:extent cx="7559040" cy="2144395"/>
          <wp:effectExtent l="0" t="0" r="0" b="0"/>
          <wp:wrapTopAndBottom/>
          <wp:docPr id="5" name="Immagin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21443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4" behindDoc="0" locked="0" layoutInCell="1" allowOverlap="1" wp14:anchorId="5FF8F66D" wp14:editId="6D12A928">
          <wp:simplePos x="0" y="0"/>
          <wp:positionH relativeFrom="column">
            <wp:align>center</wp:align>
          </wp:positionH>
          <wp:positionV relativeFrom="page">
            <wp:posOffset>9072245</wp:posOffset>
          </wp:positionV>
          <wp:extent cx="7559040" cy="1618615"/>
          <wp:effectExtent l="0" t="0" r="0" b="0"/>
          <wp:wrapTopAndBottom/>
          <wp:docPr id="4" name="Immagin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6186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B98406" w14:textId="0339F7A7" w:rsidR="00D048AC" w:rsidRDefault="00D048AC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35695C" wp14:editId="339348B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14" name="Rettangolo 14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6du="http://schemas.microsoft.com/office/word/2023/wordml/word16du">
          <w:pict>
            <v:rect w14:anchorId="43D4501A" id="Rettangolo 14" o:spid="_x0000_s1026" style="position:absolute;margin-left:0;margin-top:0;width:0;height:0;z-index:-251658240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A8715" w14:textId="77777777" w:rsidR="00263810" w:rsidRDefault="00263810"/>
  <w:p w14:paraId="720AA51B" w14:textId="3F10D14B" w:rsidR="00D048AC" w:rsidRDefault="00D048AC"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0426ACD8" wp14:editId="31FBDEE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12" name="Rettangolo 12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6du="http://schemas.microsoft.com/office/word/2023/wordml/word16du">
          <w:pict>
            <v:rect w14:anchorId="17DA8516" id="Rettangolo 12" o:spid="_x0000_s1026" style="position:absolute;margin-left:0;margin-top:0;width:0;height:0;z-index:-251658238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82"/>
    <w:rsid w:val="000B1A3E"/>
    <w:rsid w:val="002178D5"/>
    <w:rsid w:val="00263810"/>
    <w:rsid w:val="003455E6"/>
    <w:rsid w:val="00491C5F"/>
    <w:rsid w:val="005650EA"/>
    <w:rsid w:val="005D0025"/>
    <w:rsid w:val="00663DF5"/>
    <w:rsid w:val="007C03CF"/>
    <w:rsid w:val="007C51FB"/>
    <w:rsid w:val="008C3B18"/>
    <w:rsid w:val="009F27E3"/>
    <w:rsid w:val="00C82313"/>
    <w:rsid w:val="00C872D3"/>
    <w:rsid w:val="00D048AC"/>
    <w:rsid w:val="00D308C7"/>
    <w:rsid w:val="00DD7209"/>
    <w:rsid w:val="00E52B21"/>
    <w:rsid w:val="00F6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807E18A"/>
  <w15:chartTrackingRefBased/>
  <w15:docId w15:val="{80BAB932-3006-4F18-A78A-C9F16F50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381"/>
        <w:tab w:val="right" w:pos="876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AAEBB5-D2C6-49A8-AAE7-9A8405E7F8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50C0A7-7CA5-4840-8E08-ADCB0DA1B545}"/>
</file>

<file path=customXml/itemProps3.xml><?xml version="1.0" encoding="utf-8"?>
<ds:datastoreItem xmlns:ds="http://schemas.openxmlformats.org/officeDocument/2006/customXml" ds:itemID="{D16D38FF-44E5-441D-BBD0-777BF1BD7BB8}">
  <ds:schemaRefs>
    <ds:schemaRef ds:uri="http://schemas.microsoft.com/office/2006/metadata/properties"/>
    <ds:schemaRef ds:uri="http://schemas.microsoft.com/office/infopath/2007/PartnerControls"/>
    <ds:schemaRef ds:uri="5977f8f9-3acd-48bf-9d13-2954c8c001f1"/>
    <ds:schemaRef ds:uri="776ee498-1140-42be-b69c-4697b11b6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METILENE </dc:creator>
  <cp:keywords/>
  <cp:lastModifiedBy>Francesca Vannucci</cp:lastModifiedBy>
  <cp:revision>10</cp:revision>
  <cp:lastPrinted>2024-01-10T15:42:00Z</cp:lastPrinted>
  <dcterms:created xsi:type="dcterms:W3CDTF">2023-03-07T22:05:00Z</dcterms:created>
  <dcterms:modified xsi:type="dcterms:W3CDTF">2024-01-16T08:11:00Z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0x010100C010584C90E5F24BA47129EC09EB6658</vt:lpwstr>
  </property>
  <property fmtid="{D5CDD505-2E9C-101B-9397-08002B2CF9AE}" pid="3" name="MediaServiceImageTags">
    <vt:lpwstr/>
  </property>
</Properties>
</file>