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C700" w14:textId="77777777" w:rsidR="00405ED1" w:rsidRDefault="00405E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F2F45BC" w14:textId="77777777" w:rsidR="00405ED1" w:rsidRDefault="0072576D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AI MUSEI REALI DI TORINO</w:t>
      </w:r>
    </w:p>
    <w:p w14:paraId="73930526" w14:textId="77777777" w:rsidR="00405ED1" w:rsidRDefault="0072576D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UNA STRAORDINARIA NUOVA ACQUISIZIONE</w:t>
      </w:r>
    </w:p>
    <w:p w14:paraId="6A398A6C" w14:textId="77777777" w:rsidR="00405ED1" w:rsidRDefault="00405ED1">
      <w:pPr>
        <w:spacing w:after="0"/>
        <w:rPr>
          <w:rFonts w:ascii="Arial" w:eastAsia="Arial" w:hAnsi="Arial" w:cs="Arial"/>
          <w:b/>
          <w:sz w:val="26"/>
          <w:szCs w:val="26"/>
        </w:rPr>
      </w:pPr>
    </w:p>
    <w:p w14:paraId="3C8048BF" w14:textId="77777777" w:rsidR="00405ED1" w:rsidRDefault="0072576D">
      <w:pPr>
        <w:spacing w:after="0"/>
        <w:jc w:val="center"/>
        <w:rPr>
          <w:rFonts w:ascii="Arial" w:eastAsia="Arial" w:hAnsi="Arial" w:cs="Arial"/>
          <w:b/>
          <w:i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IL FRAMMENTO DEL </w:t>
      </w:r>
      <w:r>
        <w:rPr>
          <w:rFonts w:ascii="Arial" w:eastAsia="Arial" w:hAnsi="Arial" w:cs="Arial"/>
          <w:b/>
          <w:i/>
          <w:sz w:val="26"/>
          <w:szCs w:val="26"/>
        </w:rPr>
        <w:t xml:space="preserve">CONCERTO A DUE FIGURE </w:t>
      </w:r>
      <w:r>
        <w:rPr>
          <w:rFonts w:ascii="Arial" w:eastAsia="Arial" w:hAnsi="Arial" w:cs="Arial"/>
          <w:b/>
          <w:sz w:val="26"/>
          <w:szCs w:val="26"/>
        </w:rPr>
        <w:t>SI RICONGIUNGE CON</w:t>
      </w:r>
      <w:r>
        <w:rPr>
          <w:rFonts w:ascii="Arial" w:eastAsia="Arial" w:hAnsi="Arial" w:cs="Arial"/>
          <w:b/>
          <w:i/>
          <w:sz w:val="26"/>
          <w:szCs w:val="26"/>
        </w:rPr>
        <w:t xml:space="preserve"> </w:t>
      </w:r>
    </w:p>
    <w:p w14:paraId="2073965D" w14:textId="77777777" w:rsidR="00405ED1" w:rsidRDefault="0072576D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t xml:space="preserve">IL SUONATORE DI TIORBA </w:t>
      </w:r>
      <w:r>
        <w:rPr>
          <w:rFonts w:ascii="Arial" w:eastAsia="Arial" w:hAnsi="Arial" w:cs="Arial"/>
          <w:b/>
          <w:sz w:val="26"/>
          <w:szCs w:val="26"/>
        </w:rPr>
        <w:t xml:space="preserve">DI ANTIVEDUTO GRAMATICA </w:t>
      </w:r>
    </w:p>
    <w:p w14:paraId="0D5C327F" w14:textId="77777777" w:rsidR="00405ED1" w:rsidRDefault="00405ED1" w:rsidP="008120F4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</w:p>
    <w:p w14:paraId="2509FB45" w14:textId="0D52F1D5" w:rsidR="00405ED1" w:rsidRDefault="0072576D" w:rsidP="008120F4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DAL 28 FEBBRAIO AL 5 MARZO 2023</w:t>
      </w:r>
    </w:p>
    <w:p w14:paraId="2DD58E6D" w14:textId="42144196" w:rsidR="005E655D" w:rsidRDefault="0072576D" w:rsidP="008120F4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 DUE CAPOLAVORI RIUNITI</w:t>
      </w:r>
      <w:r w:rsidR="005E655D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SONO ECCEZIONALMENTE ESPOSTI</w:t>
      </w:r>
    </w:p>
    <w:p w14:paraId="17BF488C" w14:textId="7E80CA15" w:rsidR="00405ED1" w:rsidRDefault="0072576D" w:rsidP="008120F4">
      <w:pPr>
        <w:spacing w:after="0"/>
        <w:jc w:val="center"/>
        <w:rPr>
          <w:rFonts w:ascii="Arial" w:eastAsia="Arial" w:hAnsi="Arial" w:cs="Arial"/>
          <w:b/>
          <w:strike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AL PRIMO PIANO DELLA GALLERIA SABAUDA</w:t>
      </w:r>
    </w:p>
    <w:p w14:paraId="204EEA45" w14:textId="77777777" w:rsidR="00405ED1" w:rsidRDefault="00405ED1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E7E1084" w14:textId="77777777" w:rsidR="00405ED1" w:rsidRDefault="0072576D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5162F1B9" wp14:editId="5BE029A3">
            <wp:extent cx="3701865" cy="288629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1865" cy="2886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4C5B51" w14:textId="77777777" w:rsidR="00405ED1" w:rsidRDefault="00405ED1">
      <w:pPr>
        <w:spacing w:after="0"/>
        <w:rPr>
          <w:rFonts w:ascii="Arial" w:eastAsia="Arial" w:hAnsi="Arial" w:cs="Arial"/>
        </w:rPr>
      </w:pPr>
    </w:p>
    <w:p w14:paraId="2D57F138" w14:textId="77777777" w:rsidR="00405ED1" w:rsidRDefault="00405ED1">
      <w:pPr>
        <w:spacing w:after="0"/>
        <w:rPr>
          <w:rFonts w:ascii="Arial" w:eastAsia="Arial" w:hAnsi="Arial" w:cs="Arial"/>
        </w:rPr>
      </w:pPr>
    </w:p>
    <w:p w14:paraId="27E97FBB" w14:textId="77777777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Il C</w:t>
      </w:r>
      <w:r>
        <w:rPr>
          <w:rFonts w:ascii="Arial" w:eastAsia="Arial" w:hAnsi="Arial" w:cs="Arial"/>
          <w:b/>
          <w:i/>
        </w:rPr>
        <w:t>oncerto a due figure</w:t>
      </w:r>
      <w:r>
        <w:rPr>
          <w:rFonts w:ascii="Arial" w:eastAsia="Arial" w:hAnsi="Arial" w:cs="Arial"/>
          <w:b/>
        </w:rPr>
        <w:t xml:space="preserve"> di Antiveduto Gramatica</w:t>
      </w:r>
      <w:r>
        <w:rPr>
          <w:rFonts w:ascii="Arial" w:eastAsia="Arial" w:hAnsi="Arial" w:cs="Arial"/>
        </w:rPr>
        <w:t xml:space="preserve"> (1569-1626), recentemente acquistato dal Ministero della Cultura – Direzione Generale Musei, </w:t>
      </w:r>
      <w:r>
        <w:rPr>
          <w:rFonts w:ascii="Arial" w:eastAsia="Arial" w:hAnsi="Arial" w:cs="Arial"/>
          <w:b/>
        </w:rPr>
        <w:t>entra a far parte delle raccolte dei Musei Reali</w:t>
      </w:r>
      <w:r>
        <w:rPr>
          <w:rFonts w:ascii="Arial" w:eastAsia="Arial" w:hAnsi="Arial" w:cs="Arial"/>
        </w:rPr>
        <w:t>.</w:t>
      </w:r>
    </w:p>
    <w:p w14:paraId="43D5FA02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02E4E6BD" w14:textId="77777777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La tela, accostata al </w:t>
      </w:r>
      <w:r>
        <w:rPr>
          <w:rFonts w:ascii="Arial" w:eastAsia="Arial" w:hAnsi="Arial" w:cs="Arial"/>
          <w:b/>
          <w:i/>
        </w:rPr>
        <w:t>Suonatore di tiorba</w:t>
      </w:r>
      <w:r>
        <w:rPr>
          <w:rFonts w:ascii="Arial" w:eastAsia="Arial" w:hAnsi="Arial" w:cs="Arial"/>
          <w:b/>
        </w:rPr>
        <w:t xml:space="preserve">, ricompone l’impianto figurativo del dipinto </w:t>
      </w:r>
      <w:r>
        <w:rPr>
          <w:rFonts w:ascii="Arial" w:eastAsia="Arial" w:hAnsi="Arial" w:cs="Arial"/>
          <w:b/>
          <w:i/>
        </w:rPr>
        <w:t>La Musica</w:t>
      </w:r>
      <w:r>
        <w:rPr>
          <w:rFonts w:ascii="Arial" w:eastAsia="Arial" w:hAnsi="Arial" w:cs="Arial"/>
        </w:rPr>
        <w:t>, registrato nel 1627 nell’inventario della raccolta romana del cardinale Francesco Maria Del Monte, grande collezionista di Caravaggio e di Gramatica.</w:t>
      </w:r>
    </w:p>
    <w:p w14:paraId="22748321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6AD751BE" w14:textId="77777777" w:rsidR="00405ED1" w:rsidRDefault="0072576D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Dal 28 febbraio al 5 marzo 2023, i due capolavori riuniti sono eccezionalmente esposti al primo piano della Galleria Sabauda, in una delle sale dedicate ai maestri caravaggeschi e recentemente  riordinate.</w:t>
      </w:r>
    </w:p>
    <w:p w14:paraId="6167E52D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69CFD2A0" w14:textId="77777777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La Musica</w:t>
      </w:r>
      <w:r>
        <w:rPr>
          <w:rFonts w:ascii="Arial" w:eastAsia="Arial" w:hAnsi="Arial" w:cs="Arial"/>
        </w:rPr>
        <w:t>, la cui composizione era nota grazie a copie successive, viene divisa in epoca imprecisata, verosimilmente tra Seicento e Settecento, e i due frammenti prendono strade diverse, ma gran parte della loro storia è ancora da ricostruire.</w:t>
      </w:r>
    </w:p>
    <w:p w14:paraId="64D037D0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22FA11C9" w14:textId="161A1360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Il </w:t>
      </w:r>
      <w:r>
        <w:rPr>
          <w:rFonts w:ascii="Arial" w:eastAsia="Arial" w:hAnsi="Arial" w:cs="Arial"/>
          <w:i/>
        </w:rPr>
        <w:t>Suonatore di tiorba</w:t>
      </w:r>
      <w:r>
        <w:rPr>
          <w:rFonts w:ascii="Arial" w:eastAsia="Arial" w:hAnsi="Arial" w:cs="Arial"/>
        </w:rPr>
        <w:t xml:space="preserve"> entra nell’Ottocento nella collezione </w:t>
      </w:r>
      <w:r w:rsidR="00233AE6">
        <w:rPr>
          <w:rFonts w:ascii="Arial" w:eastAsia="Arial" w:hAnsi="Arial" w:cs="Arial"/>
        </w:rPr>
        <w:t xml:space="preserve">torinese dei marchesi Tancredi e Giulia </w:t>
      </w:r>
      <w:r>
        <w:rPr>
          <w:rFonts w:ascii="Arial" w:eastAsia="Arial" w:hAnsi="Arial" w:cs="Arial"/>
        </w:rPr>
        <w:t xml:space="preserve">Falletti di Barolo </w:t>
      </w:r>
      <w:r w:rsidR="00233AE6">
        <w:rPr>
          <w:rFonts w:ascii="Arial" w:eastAsia="Arial" w:hAnsi="Arial" w:cs="Arial"/>
        </w:rPr>
        <w:t>ed è poi</w:t>
      </w:r>
      <w:r>
        <w:rPr>
          <w:rFonts w:ascii="Arial" w:eastAsia="Arial" w:hAnsi="Arial" w:cs="Arial"/>
        </w:rPr>
        <w:t xml:space="preserve"> donato dalla famiglia alla Galleria Sabauda nel 1864, insieme a un nucleo importante di altre opere. Del </w:t>
      </w:r>
      <w:r>
        <w:rPr>
          <w:rFonts w:ascii="Arial" w:eastAsia="Arial" w:hAnsi="Arial" w:cs="Arial"/>
          <w:i/>
        </w:rPr>
        <w:t xml:space="preserve">Concerto a due figure, </w:t>
      </w:r>
      <w:r>
        <w:rPr>
          <w:rFonts w:ascii="Arial" w:eastAsia="Arial" w:hAnsi="Arial" w:cs="Arial"/>
        </w:rPr>
        <w:t xml:space="preserve">forse transitato nella collezione romana della famiglia Torlonia - come farebbe ipotizzare la lettera “T” seguita dal numero 94 sul retro della tela - si perdono completamente le tracce, </w:t>
      </w:r>
      <w:r w:rsidR="00233AE6">
        <w:rPr>
          <w:rFonts w:ascii="Arial" w:eastAsia="Arial" w:hAnsi="Arial" w:cs="Arial"/>
        </w:rPr>
        <w:t>fino alla ricomparsa</w:t>
      </w:r>
      <w:r>
        <w:rPr>
          <w:rFonts w:ascii="Arial" w:eastAsia="Arial" w:hAnsi="Arial" w:cs="Arial"/>
        </w:rPr>
        <w:t xml:space="preserve"> nel 2022 sul mercato antiquario.</w:t>
      </w:r>
    </w:p>
    <w:p w14:paraId="1E13DF62" w14:textId="37F992E7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 due frammenti, riuniti così dopo quattro secoli</w:t>
      </w:r>
      <w:r w:rsidR="00233AE6">
        <w:rPr>
          <w:rFonts w:ascii="Arial" w:eastAsia="Arial" w:hAnsi="Arial" w:cs="Arial"/>
          <w:b/>
        </w:rPr>
        <w:t xml:space="preserve"> </w:t>
      </w:r>
      <w:r w:rsidR="00233AE6" w:rsidRPr="00233AE6">
        <w:rPr>
          <w:rFonts w:ascii="Arial" w:eastAsia="Arial" w:hAnsi="Arial" w:cs="Arial"/>
          <w:bCs/>
        </w:rPr>
        <w:t>e</w:t>
      </w:r>
      <w:r w:rsidR="00233AE6">
        <w:rPr>
          <w:rFonts w:ascii="Arial" w:eastAsia="Arial" w:hAnsi="Arial" w:cs="Arial"/>
          <w:b/>
        </w:rPr>
        <w:t xml:space="preserve"> </w:t>
      </w:r>
      <w:r w:rsidR="00233AE6">
        <w:rPr>
          <w:rFonts w:ascii="Arial" w:eastAsia="Arial" w:hAnsi="Arial" w:cs="Arial"/>
        </w:rPr>
        <w:t>databili entro il primo decennio del Seicento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permettono di apprezzare uno dei vertici giovanili dell’attività del Gramatica, </w:t>
      </w:r>
      <w:r w:rsidR="00233AE6">
        <w:rPr>
          <w:rFonts w:ascii="Arial" w:eastAsia="Arial" w:hAnsi="Arial" w:cs="Arial"/>
        </w:rPr>
        <w:t xml:space="preserve">di grande </w:t>
      </w:r>
      <w:r>
        <w:rPr>
          <w:rFonts w:ascii="Arial" w:eastAsia="Arial" w:hAnsi="Arial" w:cs="Arial"/>
        </w:rPr>
        <w:t xml:space="preserve">raffinatezza nella resa delle figure e dei panneggi, </w:t>
      </w:r>
      <w:r w:rsidR="00233AE6">
        <w:rPr>
          <w:rFonts w:ascii="Arial" w:eastAsia="Arial" w:hAnsi="Arial" w:cs="Arial"/>
        </w:rPr>
        <w:t>nella</w:t>
      </w:r>
      <w:r>
        <w:rPr>
          <w:rFonts w:ascii="Arial" w:eastAsia="Arial" w:hAnsi="Arial" w:cs="Arial"/>
        </w:rPr>
        <w:t xml:space="preserve"> qualità cromatica dei bruni e dei colori accesi</w:t>
      </w:r>
      <w:r w:rsidR="00BE2BE6">
        <w:rPr>
          <w:rFonts w:ascii="Arial" w:eastAsia="Arial" w:hAnsi="Arial" w:cs="Arial"/>
        </w:rPr>
        <w:t xml:space="preserve">, </w:t>
      </w:r>
      <w:r w:rsidR="00233AE6">
        <w:rPr>
          <w:rFonts w:ascii="Arial" w:eastAsia="Arial" w:hAnsi="Arial" w:cs="Arial"/>
        </w:rPr>
        <w:t xml:space="preserve">nella precisa </w:t>
      </w:r>
      <w:r w:rsidR="00BE2BE6">
        <w:rPr>
          <w:rFonts w:ascii="Arial" w:eastAsia="Arial" w:hAnsi="Arial" w:cs="Arial"/>
        </w:rPr>
        <w:t xml:space="preserve">e fedele </w:t>
      </w:r>
      <w:r w:rsidR="00233AE6">
        <w:rPr>
          <w:rFonts w:ascii="Arial" w:eastAsia="Arial" w:hAnsi="Arial" w:cs="Arial"/>
        </w:rPr>
        <w:t>restituzione</w:t>
      </w:r>
      <w:r>
        <w:rPr>
          <w:rFonts w:ascii="Arial" w:eastAsia="Arial" w:hAnsi="Arial" w:cs="Arial"/>
        </w:rPr>
        <w:t xml:space="preserve"> degli strumenti musicali, </w:t>
      </w:r>
      <w:r w:rsidR="00BE2BE6">
        <w:rPr>
          <w:rFonts w:ascii="Arial" w:eastAsia="Arial" w:hAnsi="Arial" w:cs="Arial"/>
        </w:rPr>
        <w:t xml:space="preserve">caratteri in cui si manifesta l’adesione </w:t>
      </w:r>
      <w:r>
        <w:rPr>
          <w:rFonts w:ascii="Arial" w:eastAsia="Arial" w:hAnsi="Arial" w:cs="Arial"/>
        </w:rPr>
        <w:t xml:space="preserve"> al nuovo linguaggio introdotto </w:t>
      </w:r>
      <w:r w:rsidR="00233AE6">
        <w:rPr>
          <w:rFonts w:ascii="Arial" w:eastAsia="Arial" w:hAnsi="Arial" w:cs="Arial"/>
        </w:rPr>
        <w:t>da Caravaggio.</w:t>
      </w:r>
    </w:p>
    <w:p w14:paraId="2EBE2144" w14:textId="242DB3C2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L’opera è particolarmente significativa </w:t>
      </w:r>
      <w:r w:rsidR="00BE2BE6">
        <w:rPr>
          <w:rFonts w:ascii="Arial" w:eastAsia="Arial" w:hAnsi="Arial" w:cs="Arial"/>
        </w:rPr>
        <w:t xml:space="preserve">anche </w:t>
      </w:r>
      <w:r>
        <w:rPr>
          <w:rFonts w:ascii="Arial" w:eastAsia="Arial" w:hAnsi="Arial" w:cs="Arial"/>
        </w:rPr>
        <w:t xml:space="preserve">in relazione alla fortuna che, all’inizio del Seicento, riscuote il tema della musica, a Roma come alla corte sabauda: nella figura del suonatore di tiorba o di arciliuto, come ritengono alcuni musicologi, andrebbe riconosciuto il celebre compositore di musica da camera Cesare Marotta (o il collega Vincenzo Pinti, “Cavaliere del liuto”), mentre la figura femminile </w:t>
      </w:r>
      <w:r w:rsidR="00233AE6">
        <w:rPr>
          <w:rFonts w:ascii="Arial" w:eastAsia="Arial" w:hAnsi="Arial" w:cs="Arial"/>
        </w:rPr>
        <w:t>potrebbe essere identificata con</w:t>
      </w:r>
      <w:r>
        <w:rPr>
          <w:rFonts w:ascii="Arial" w:eastAsia="Arial" w:hAnsi="Arial" w:cs="Arial"/>
        </w:rPr>
        <w:t xml:space="preserve"> la moglie di Marotta, Ippolita </w:t>
      </w:r>
      <w:proofErr w:type="spellStart"/>
      <w:r>
        <w:rPr>
          <w:rFonts w:ascii="Arial" w:eastAsia="Arial" w:hAnsi="Arial" w:cs="Arial"/>
        </w:rPr>
        <w:t>Recupito</w:t>
      </w:r>
      <w:proofErr w:type="spellEnd"/>
      <w:r>
        <w:rPr>
          <w:rFonts w:ascii="Arial" w:eastAsia="Arial" w:hAnsi="Arial" w:cs="Arial"/>
        </w:rPr>
        <w:t>, sublime interprete del canto monodico, apprezzato dal cardinale Del Monte.</w:t>
      </w:r>
    </w:p>
    <w:p w14:paraId="4F0F048B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0E2E3658" w14:textId="77777777" w:rsidR="00405ED1" w:rsidRDefault="0072576D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 due tele saranno nuovamente presentate al pubblico, dopo approfondite indagini diagnostiche, alla mostra “</w:t>
      </w:r>
      <w:r w:rsidRPr="0072576D">
        <w:rPr>
          <w:rFonts w:ascii="Arial" w:eastAsia="Arial" w:hAnsi="Arial" w:cs="Arial"/>
          <w:b/>
          <w:i/>
          <w:iCs/>
        </w:rPr>
        <w:t>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Musica</w:t>
      </w:r>
      <w:r>
        <w:rPr>
          <w:rFonts w:ascii="Arial" w:eastAsia="Arial" w:hAnsi="Arial" w:cs="Arial"/>
          <w:b/>
        </w:rPr>
        <w:t xml:space="preserve"> di Antiveduto Gramatica e la collezione Falletti di Barolo”, in programma dal 9 giugno al 1° ottobre 2023 al secondo piano della Galleria Sabauda di Torino.</w:t>
      </w:r>
    </w:p>
    <w:p w14:paraId="1DE78C63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57017134" w14:textId="77777777" w:rsidR="00405ED1" w:rsidRDefault="0072576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Torino, 28 febbraio 2023</w:t>
      </w:r>
    </w:p>
    <w:p w14:paraId="6D60BD6A" w14:textId="77777777" w:rsidR="00405ED1" w:rsidRDefault="00405ED1">
      <w:pPr>
        <w:spacing w:after="0"/>
        <w:jc w:val="both"/>
        <w:rPr>
          <w:rFonts w:ascii="Arial" w:eastAsia="Arial" w:hAnsi="Arial" w:cs="Arial"/>
        </w:rPr>
      </w:pPr>
    </w:p>
    <w:p w14:paraId="334F906F" w14:textId="77777777" w:rsidR="00405ED1" w:rsidRDefault="0072576D">
      <w:pPr>
        <w:spacing w:after="0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ANTIVEDUTO GRAMATICA.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LA MUSICA</w:t>
      </w:r>
    </w:p>
    <w:p w14:paraId="0E64AECB" w14:textId="77777777" w:rsidR="00405ED1" w:rsidRDefault="0072576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Torino, Musei Reali - Galleria Sabauda, primo piano, sala 18 (ingresso Piazzetta Reale, 1)</w:t>
      </w:r>
    </w:p>
    <w:p w14:paraId="47926BA0" w14:textId="77777777" w:rsidR="00405ED1" w:rsidRDefault="0072576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28 febbraio – 5 marzo 2023</w:t>
      </w:r>
    </w:p>
    <w:p w14:paraId="5737B6B6" w14:textId="77777777" w:rsidR="00405ED1" w:rsidRDefault="00405ED1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F6938F0" w14:textId="77777777" w:rsidR="00405ED1" w:rsidRDefault="0072576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Orari: </w:t>
      </w:r>
    </w:p>
    <w:p w14:paraId="52BA1A57" w14:textId="77777777" w:rsidR="00405ED1" w:rsidRDefault="0072576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martedì-domenica, 9.00-19.00; lunedì chiuso</w:t>
      </w:r>
    </w:p>
    <w:p w14:paraId="48915C90" w14:textId="77777777" w:rsidR="00405ED1" w:rsidRDefault="0072576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La biglietteria chiude un’ora prima</w:t>
      </w:r>
    </w:p>
    <w:p w14:paraId="0B98DBCE" w14:textId="77777777" w:rsidR="00405ED1" w:rsidRDefault="00405ED1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2351900" w14:textId="77777777" w:rsidR="00405ED1" w:rsidRDefault="0072576D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Biglietti:</w:t>
      </w:r>
    </w:p>
    <w:p w14:paraId="4A0CBA17" w14:textId="77777777" w:rsidR="00405ED1" w:rsidRDefault="0072576D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Intero: € 15,00; ridotto € 2,00 (dai 18 ai 25 anni); 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ratuito: minori di 18 anni; persone con disabilità e un loro accompagnatore; insegnanti con scolaresche; guide turistiche con gruppi; personale del Ministero della Cultura; possessori di Abbonamento Musei,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Torino+Piemonte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Card, tessera ICOM; giornalisti regolarmente iscritti all’Ordine dei giornalisti.</w:t>
      </w:r>
    </w:p>
    <w:p w14:paraId="654BDAD3" w14:textId="77777777" w:rsidR="00405ED1" w:rsidRDefault="00405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A16B2A9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 prenotare il biglietto</w:t>
      </w:r>
    </w:p>
    <w:p w14:paraId="43D0C759" w14:textId="77777777" w:rsidR="00405ED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hyperlink r:id="rId10">
        <w:r w:rsidR="0072576D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https://www.coopculture.it/it/prodotti/biglietto-musei-reali-di-torino</w:t>
        </w:r>
      </w:hyperlink>
      <w:r w:rsidR="0072576D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B7C85E3" w14:textId="77777777" w:rsidR="00405ED1" w:rsidRDefault="00405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329262A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 informazioni</w:t>
      </w:r>
    </w:p>
    <w:p w14:paraId="2CBAD075" w14:textId="0CA497DF" w:rsidR="00405ED1" w:rsidRDefault="00BF4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eastAsia="Times New Roman"/>
        </w:rPr>
      </w:pPr>
      <w:hyperlink r:id="rId11" w:history="1">
        <w:r>
          <w:rPr>
            <w:rStyle w:val="Collegamentoipertestuale"/>
            <w:rFonts w:eastAsia="Times New Roman"/>
          </w:rPr>
          <w:t>info.torino@coopculture.it</w:t>
        </w:r>
      </w:hyperlink>
    </w:p>
    <w:p w14:paraId="21630E05" w14:textId="77777777" w:rsidR="00BF42FA" w:rsidRDefault="00BF4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5DBDF64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Sito internet:</w:t>
      </w:r>
    </w:p>
    <w:p w14:paraId="2F15AC5D" w14:textId="77777777" w:rsidR="00405ED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hyperlink r:id="rId12">
        <w:r w:rsidR="0072576D"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https://museireali.beniculturali.it </w:t>
        </w:r>
      </w:hyperlink>
    </w:p>
    <w:p w14:paraId="6D8225A1" w14:textId="77777777" w:rsidR="00405ED1" w:rsidRDefault="00405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4EA7405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2171B843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FB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museirealitorino</w:t>
      </w:r>
      <w:proofErr w:type="spellEnd"/>
    </w:p>
    <w:p w14:paraId="22B6B104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museirealitorino</w:t>
      </w:r>
      <w:proofErr w:type="spellEnd"/>
    </w:p>
    <w:p w14:paraId="55B1B5A7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TW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MuseiRealiTo</w:t>
      </w:r>
      <w:proofErr w:type="spellEnd"/>
    </w:p>
    <w:p w14:paraId="1D92A149" w14:textId="77777777" w:rsidR="00405ED1" w:rsidRDefault="00405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422A4A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</w:p>
    <w:p w14:paraId="0E5D1847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24790288" w14:textId="77777777" w:rsidR="00405ED1" w:rsidRDefault="007257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Anna Defrancesco | T +39 02 36755700 | M +39 349 6107625 | </w:t>
      </w:r>
      <w:hyperlink r:id="rId13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anna.defrancesco@clp1968.it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4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sectPr w:rsidR="00405ED1">
      <w:headerReference w:type="first" r:id="rId15"/>
      <w:pgSz w:w="11906" w:h="16838"/>
      <w:pgMar w:top="1418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0B0E" w14:textId="77777777" w:rsidR="00E452A5" w:rsidRDefault="00E452A5">
      <w:pPr>
        <w:spacing w:after="0" w:line="240" w:lineRule="auto"/>
      </w:pPr>
      <w:r>
        <w:separator/>
      </w:r>
    </w:p>
  </w:endnote>
  <w:endnote w:type="continuationSeparator" w:id="0">
    <w:p w14:paraId="7CD38149" w14:textId="77777777" w:rsidR="00E452A5" w:rsidRDefault="00E4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3D4" w14:textId="77777777" w:rsidR="00E452A5" w:rsidRDefault="00E452A5">
      <w:pPr>
        <w:spacing w:after="0" w:line="240" w:lineRule="auto"/>
      </w:pPr>
      <w:r>
        <w:separator/>
      </w:r>
    </w:p>
  </w:footnote>
  <w:footnote w:type="continuationSeparator" w:id="0">
    <w:p w14:paraId="4A554955" w14:textId="77777777" w:rsidR="00E452A5" w:rsidRDefault="00E4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5764" w14:textId="77777777" w:rsidR="00405ED1" w:rsidRDefault="00405ED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"/>
      <w:tblW w:w="10237" w:type="dxa"/>
      <w:tblInd w:w="0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405ED1" w14:paraId="15C52468" w14:textId="77777777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C8548B" w14:textId="77777777" w:rsidR="00405ED1" w:rsidRDefault="0072576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276" w:dyaOrig="1284" w14:anchorId="4FB94A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64.8pt;visibility:visible">
                <v:imagedata r:id="rId1" o:title=""/>
              </v:shape>
              <o:OLEObject Type="Embed" ProgID="PBrush" ShapeID="_x0000_i1025" DrawAspect="Content" ObjectID="_1739079293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6041B2" w14:textId="77777777" w:rsidR="00405ED1" w:rsidRDefault="0072576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color w:val="000000"/>
            </w:rPr>
            <w:object w:dxaOrig="3012" w:dyaOrig="1860" w14:anchorId="1269B250">
              <v:shape id="_x0000_i1026" type="#_x0000_t75" style="width:124.8pt;height:61.2pt;visibility:visible">
                <v:imagedata r:id="rId3" o:title="" croptop="11150f" cropbottom="2549f"/>
              </v:shape>
              <o:OLEObject Type="Embed" ProgID="PBrush" ShapeID="_x0000_i1026" DrawAspect="Content" ObjectID="_1739079294" r:id="rId4"/>
            </w:object>
          </w:r>
        </w:p>
      </w:tc>
    </w:tr>
  </w:tbl>
  <w:p w14:paraId="47125BFC" w14:textId="77777777" w:rsidR="00405ED1" w:rsidRDefault="0040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D1"/>
    <w:rsid w:val="00233AE6"/>
    <w:rsid w:val="00405ED1"/>
    <w:rsid w:val="005E655D"/>
    <w:rsid w:val="0072576D"/>
    <w:rsid w:val="008120F4"/>
    <w:rsid w:val="00BE2BE6"/>
    <w:rsid w:val="00BF42FA"/>
    <w:rsid w:val="00E24688"/>
    <w:rsid w:val="00E452A5"/>
    <w:rsid w:val="00E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0110"/>
  <w15:docId w15:val="{EAF8F35E-8760-4292-8AAB-3308D76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C3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6C4"/>
  </w:style>
  <w:style w:type="paragraph" w:styleId="Pidipagina">
    <w:name w:val="footer"/>
    <w:basedOn w:val="Normale"/>
    <w:link w:val="PidipaginaCarattere"/>
    <w:uiPriority w:val="99"/>
    <w:unhideWhenUsed/>
    <w:rsid w:val="006C3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6C4"/>
  </w:style>
  <w:style w:type="paragraph" w:customStyle="1" w:styleId="Standard">
    <w:name w:val="Standard"/>
    <w:rsid w:val="006C36C4"/>
    <w:pPr>
      <w:shd w:val="clear" w:color="auto" w:fill="FFFFFF"/>
      <w:autoSpaceDN w:val="0"/>
      <w:spacing w:line="254" w:lineRule="auto"/>
      <w:textAlignment w:val="baseline"/>
    </w:pPr>
    <w:rPr>
      <w:rFonts w:eastAsia="Arial Unicode MS" w:cs="Arial Unicode MS"/>
      <w:color w:val="000000"/>
      <w:kern w:val="3"/>
    </w:rPr>
  </w:style>
  <w:style w:type="character" w:styleId="Collegamentoipertestuale">
    <w:name w:val="Hyperlink"/>
    <w:uiPriority w:val="99"/>
    <w:rsid w:val="00455A14"/>
    <w:rPr>
      <w:color w:val="0000FF"/>
      <w:u w:val="single"/>
    </w:rPr>
  </w:style>
  <w:style w:type="character" w:customStyle="1" w:styleId="Hyperlink0">
    <w:name w:val="Hyperlink.0"/>
    <w:rsid w:val="00A8677C"/>
    <w:rPr>
      <w:outline w:val="0"/>
      <w:color w:val="0563C1"/>
      <w:u w:val="single" w:color="000000"/>
    </w:rPr>
  </w:style>
  <w:style w:type="paragraph" w:styleId="NormaleWeb">
    <w:name w:val="Normal (Web)"/>
    <w:basedOn w:val="Normale"/>
    <w:uiPriority w:val="99"/>
    <w:unhideWhenUsed/>
    <w:rsid w:val="00A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museireali.beniculturali.it/museo-antichita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.torino@coopcultur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oopculture.it/it/prodotti/biglietto-musei-reali-di-tori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DnVwdwDPKPN0hnbeHwXBV9/bw==">AMUW2mV+AAzVN6SV5ZLHBMBfKlpPot4Pfchuf6icZQrc+MHxbU4VqjKx8+ePCKXPzCjEPXZh8yZmpEhOICamkvcloJ5CE8tw7Vj0ElzfNvbK15eVgMQjN0E=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E785C-569A-49F6-8DBD-4C9B7D24E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8166743-0221-4389-B3A4-B3045D68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Anna Defrancesco</cp:lastModifiedBy>
  <cp:revision>6</cp:revision>
  <dcterms:created xsi:type="dcterms:W3CDTF">2023-02-26T18:07:00Z</dcterms:created>
  <dcterms:modified xsi:type="dcterms:W3CDTF">2023-02-28T07:48:00Z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