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889A39" w14:textId="77777777" w:rsidR="00EE29E5" w:rsidRPr="00EE29E5" w:rsidRDefault="00E73EC1" w:rsidP="00EE29E5">
      <w:pPr>
        <w:rPr>
          <w:rFonts w:asciiTheme="majorHAnsi" w:hAnsiTheme="majorHAnsi"/>
          <w:b/>
          <w:sz w:val="28"/>
        </w:rPr>
      </w:pPr>
      <w:r>
        <w:rPr>
          <w:rFonts w:asciiTheme="majorHAnsi" w:hAnsiTheme="majorHAnsi"/>
          <w:b/>
          <w:sz w:val="28"/>
        </w:rPr>
        <w:t>SIMONA BARTOLENA</w:t>
      </w:r>
    </w:p>
    <w:p w14:paraId="13913F19" w14:textId="77777777" w:rsidR="003A2EF6" w:rsidRDefault="00E73EC1" w:rsidP="00EE29E5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b/>
          <w:sz w:val="28"/>
        </w:rPr>
        <w:t>Curatrice della mostra</w:t>
      </w:r>
    </w:p>
    <w:p w14:paraId="462E5303" w14:textId="77777777" w:rsidR="003A2EF6" w:rsidRDefault="003A2EF6">
      <w:pPr>
        <w:rPr>
          <w:rFonts w:asciiTheme="majorHAnsi" w:hAnsiTheme="majorHAnsi"/>
          <w:sz w:val="28"/>
        </w:rPr>
      </w:pPr>
    </w:p>
    <w:p w14:paraId="7A337084" w14:textId="77777777" w:rsidR="00E73EC1" w:rsidRPr="006C31F8" w:rsidRDefault="00E73EC1" w:rsidP="006C31F8">
      <w:pPr>
        <w:spacing w:after="120"/>
        <w:rPr>
          <w:rFonts w:asciiTheme="majorHAnsi" w:hAnsiTheme="majorHAnsi"/>
          <w:i/>
          <w:sz w:val="28"/>
        </w:rPr>
      </w:pPr>
      <w:r w:rsidRPr="00E73EC1">
        <w:rPr>
          <w:rFonts w:asciiTheme="majorHAnsi" w:hAnsiTheme="majorHAnsi"/>
          <w:i/>
          <w:sz w:val="28"/>
        </w:rPr>
        <w:t>Metallico, cristallino, geometrico,</w:t>
      </w:r>
      <w:r w:rsidRPr="00E73EC1">
        <w:rPr>
          <w:rFonts w:asciiTheme="majorHAnsi" w:hAnsiTheme="majorHAnsi"/>
          <w:i/>
          <w:sz w:val="28"/>
        </w:rPr>
        <w:t xml:space="preserve"> </w:t>
      </w:r>
      <w:r w:rsidRPr="00E73EC1">
        <w:rPr>
          <w:rFonts w:asciiTheme="majorHAnsi" w:hAnsiTheme="majorHAnsi"/>
          <w:i/>
          <w:sz w:val="28"/>
        </w:rPr>
        <w:t>dinamico, luminoso, rumorista.</w:t>
      </w:r>
      <w:r w:rsidRPr="00E73EC1">
        <w:rPr>
          <w:rFonts w:asciiTheme="majorHAnsi" w:hAnsiTheme="majorHAnsi"/>
          <w:i/>
          <w:sz w:val="28"/>
        </w:rPr>
        <w:t xml:space="preserve"> </w:t>
      </w:r>
      <w:r w:rsidRPr="00E73EC1">
        <w:rPr>
          <w:rFonts w:asciiTheme="majorHAnsi" w:hAnsiTheme="majorHAnsi"/>
          <w:i/>
          <w:sz w:val="28"/>
        </w:rPr>
        <w:t>Breve viaggio nell’universo futurista</w:t>
      </w:r>
      <w:r>
        <w:rPr>
          <w:rFonts w:asciiTheme="majorHAnsi" w:hAnsiTheme="majorHAnsi"/>
          <w:i/>
          <w:sz w:val="28"/>
        </w:rPr>
        <w:t xml:space="preserve">.  </w:t>
      </w:r>
      <w:r w:rsidRPr="00E73EC1">
        <w:rPr>
          <w:rFonts w:asciiTheme="majorHAnsi" w:hAnsiTheme="majorHAnsi"/>
          <w:b/>
          <w:i/>
          <w:sz w:val="28"/>
        </w:rPr>
        <w:t>*</w:t>
      </w:r>
    </w:p>
    <w:p w14:paraId="227078FB" w14:textId="77777777" w:rsidR="006C31F8" w:rsidRPr="006C31F8" w:rsidRDefault="006C31F8" w:rsidP="006C31F8">
      <w:pPr>
        <w:spacing w:after="80"/>
        <w:jc w:val="both"/>
        <w:rPr>
          <w:rFonts w:asciiTheme="majorHAnsi" w:hAnsiTheme="majorHAnsi"/>
        </w:rPr>
      </w:pPr>
      <w:r w:rsidRPr="006C31F8">
        <w:rPr>
          <w:rFonts w:asciiTheme="majorHAnsi" w:hAnsiTheme="majorHAnsi"/>
        </w:rPr>
        <w:t>Rumoroso, dinamico, visionario, originale nelle sue molteplici espressioni, il Futurismo segna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un momento di rottura e rinnovamento nella scena culturale italiana, in un indispensabile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passaggio alla contemporaneità. La sua lezione offre importanti motivi di riflessione anche alle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generazioni successive, costituendo un modello ora da emulare, ora da superare, ora da contrastare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e contraddire, ma sempre e comunque da tenere in considerazione. Per vari aspetti, anzi,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il Futurismo ha ancora molto da dire anche ai nostri giorni.</w:t>
      </w:r>
    </w:p>
    <w:p w14:paraId="4FDE06EE" w14:textId="77777777" w:rsidR="006C31F8" w:rsidRPr="006C31F8" w:rsidRDefault="006C31F8" w:rsidP="006C31F8">
      <w:pPr>
        <w:spacing w:after="80"/>
        <w:jc w:val="both"/>
        <w:rPr>
          <w:rFonts w:asciiTheme="majorHAnsi" w:hAnsiTheme="majorHAnsi"/>
        </w:rPr>
      </w:pPr>
      <w:r w:rsidRPr="006C31F8">
        <w:rPr>
          <w:rFonts w:asciiTheme="majorHAnsi" w:hAnsiTheme="majorHAnsi"/>
        </w:rPr>
        <w:t xml:space="preserve">Negli ultimi anni il ruolo di primo piano nel </w:t>
      </w:r>
      <w:proofErr w:type="gramStart"/>
      <w:r w:rsidRPr="006C31F8">
        <w:rPr>
          <w:rFonts w:asciiTheme="majorHAnsi" w:hAnsiTheme="majorHAnsi"/>
        </w:rPr>
        <w:t>contesto</w:t>
      </w:r>
      <w:proofErr w:type="gramEnd"/>
      <w:r w:rsidRPr="006C31F8">
        <w:rPr>
          <w:rFonts w:asciiTheme="majorHAnsi" w:hAnsiTheme="majorHAnsi"/>
        </w:rPr>
        <w:t xml:space="preserve"> europeo di questa avanguardia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nata in Italia è stato ampiamente riconosciuto anche a livello internazionale, con importanti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studi e grandi mostre nei principali musei del mondo, dal Centre Georges Pompidou di Parigi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al Guggenheim di New York, eppure ancora oggi la conoscenza che di esso ha il grande pubblico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non è completa e approfondita.</w:t>
      </w:r>
      <w:r>
        <w:rPr>
          <w:rFonts w:asciiTheme="majorHAnsi" w:hAnsiTheme="majorHAnsi"/>
        </w:rPr>
        <w:t xml:space="preserve"> </w:t>
      </w:r>
    </w:p>
    <w:p w14:paraId="13BCB8D2" w14:textId="77777777" w:rsidR="006C31F8" w:rsidRPr="006C31F8" w:rsidRDefault="006C31F8" w:rsidP="006C31F8">
      <w:pPr>
        <w:spacing w:after="80"/>
        <w:jc w:val="both"/>
        <w:rPr>
          <w:rFonts w:asciiTheme="majorHAnsi" w:hAnsiTheme="majorHAnsi"/>
        </w:rPr>
      </w:pPr>
      <w:r w:rsidRPr="006C31F8">
        <w:rPr>
          <w:rFonts w:asciiTheme="majorHAnsi" w:hAnsiTheme="majorHAnsi"/>
        </w:rPr>
        <w:t xml:space="preserve">La maggior parte degli studi e dei testi divulgativi dedicati al Futurismo </w:t>
      </w:r>
      <w:proofErr w:type="gramStart"/>
      <w:r w:rsidRPr="006C31F8">
        <w:rPr>
          <w:rFonts w:asciiTheme="majorHAnsi" w:hAnsiTheme="majorHAnsi"/>
        </w:rPr>
        <w:t>sono</w:t>
      </w:r>
      <w:proofErr w:type="gramEnd"/>
      <w:r w:rsidRPr="006C31F8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 xml:space="preserve">infatti, focalizzati sui primi anni del movimento. Ma al primo periodo che si </w:t>
      </w:r>
      <w:proofErr w:type="gramStart"/>
      <w:r w:rsidRPr="006C31F8">
        <w:rPr>
          <w:rFonts w:asciiTheme="majorHAnsi" w:hAnsiTheme="majorHAnsi"/>
        </w:rPr>
        <w:t>conclude</w:t>
      </w:r>
      <w:proofErr w:type="gramEnd"/>
      <w:r w:rsidRPr="006C31F8">
        <w:rPr>
          <w:rFonts w:asciiTheme="majorHAnsi" w:hAnsiTheme="majorHAnsi"/>
        </w:rPr>
        <w:t>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di fatto, con la morte precoce di Boccioni, avvenuta nel 1916, seguono altri anni ricchi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di spunti di riflessione, interessantissimi quanto a novità di linguaggio e originalità di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ricerca. Pur senza negare l’importanza dei primi dieci anni di gestazione, in una corretta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lettura del Futurismo non si può prescindere dall’analisi anche dei due decenni seguenti.</w:t>
      </w:r>
    </w:p>
    <w:p w14:paraId="4A0B1A65" w14:textId="77777777" w:rsidR="003A2EF6" w:rsidRDefault="006C31F8" w:rsidP="006C31F8">
      <w:pPr>
        <w:spacing w:after="80"/>
        <w:jc w:val="both"/>
        <w:rPr>
          <w:rFonts w:asciiTheme="majorHAnsi" w:hAnsiTheme="majorHAnsi"/>
        </w:rPr>
      </w:pPr>
      <w:r w:rsidRPr="006C31F8">
        <w:rPr>
          <w:rFonts w:asciiTheme="majorHAnsi" w:hAnsiTheme="majorHAnsi"/>
        </w:rPr>
        <w:t>È, anzi, proprio in queste successive generazioni che il Futurismo trova la propria unicità;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rispetto alle altre avanguardie europee, ad esempio, esso dimostra una straordinaria longevità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e una notevole capacità di aggiornamento sul cambio dei tempi. In questa seconda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fase, inoltre, si evince con maggior chiarezza l’originalità del movimento rispetto al clima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del Ritorno all’ordine, che dal primo dopoguerra aveva pervaso l’Europa, interessando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 xml:space="preserve">anche la ricerca di alcuni dei grandi protagonisti </w:t>
      </w:r>
      <w:proofErr w:type="gramStart"/>
      <w:r w:rsidRPr="006C31F8">
        <w:rPr>
          <w:rFonts w:asciiTheme="majorHAnsi" w:hAnsiTheme="majorHAnsi"/>
        </w:rPr>
        <w:t>della</w:t>
      </w:r>
      <w:proofErr w:type="gramEnd"/>
      <w:r w:rsidRPr="006C31F8">
        <w:rPr>
          <w:rFonts w:asciiTheme="majorHAnsi" w:hAnsiTheme="majorHAnsi"/>
        </w:rPr>
        <w:t xml:space="preserve"> stagione delle avanguardie. Questa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dirompente e prolungata vitalità permette al Futurismo di propagarsi in tutta la penisola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 xml:space="preserve">e superare </w:t>
      </w:r>
      <w:proofErr w:type="gramStart"/>
      <w:r w:rsidRPr="006C31F8">
        <w:rPr>
          <w:rFonts w:asciiTheme="majorHAnsi" w:hAnsiTheme="majorHAnsi"/>
        </w:rPr>
        <w:t>di gran lunga</w:t>
      </w:r>
      <w:proofErr w:type="gramEnd"/>
      <w:r w:rsidRPr="006C31F8">
        <w:rPr>
          <w:rFonts w:asciiTheme="majorHAnsi" w:hAnsiTheme="majorHAnsi"/>
        </w:rPr>
        <w:t xml:space="preserve"> i confini in cui di consueto si muovono i linguaggi delle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Avanguardie storiche, necessariamente elitari. Pur non aderendo al sistema dell’arte ufficiale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(dal quale si è tenuto sempre orgogliosamente distante), il Futurismo ha saputo,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soprattutto negli anni Trenta, costruire a propria volta una complessa rete culturale, organizzando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serate, concerti, spettacoli teatrali, eventi, mostre, coordinando centri culturali,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pubblicando manifesti, riviste e saggi: un’</w:t>
      </w:r>
      <w:proofErr w:type="gramStart"/>
      <w:r w:rsidRPr="006C31F8">
        <w:rPr>
          <w:rFonts w:asciiTheme="majorHAnsi" w:hAnsiTheme="majorHAnsi"/>
        </w:rPr>
        <w:t>alternativa</w:t>
      </w:r>
      <w:proofErr w:type="gramEnd"/>
      <w:r w:rsidRPr="006C31F8">
        <w:rPr>
          <w:rFonts w:asciiTheme="majorHAnsi" w:hAnsiTheme="majorHAnsi"/>
        </w:rPr>
        <w:t xml:space="preserve"> straordinaria e unica nel panorama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europeo alle tendenze più in voga e un fenomeno che è riuscito a diffondersi capillarmente,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anche nei piccoli centri e nelle periferie.</w:t>
      </w:r>
    </w:p>
    <w:p w14:paraId="270060D2" w14:textId="77777777" w:rsidR="006C31F8" w:rsidRPr="006C31F8" w:rsidRDefault="006C31F8" w:rsidP="006C31F8">
      <w:pPr>
        <w:spacing w:after="80"/>
        <w:jc w:val="both"/>
        <w:rPr>
          <w:rFonts w:asciiTheme="majorHAnsi" w:hAnsiTheme="majorHAnsi"/>
        </w:rPr>
      </w:pPr>
      <w:r w:rsidRPr="006C31F8">
        <w:rPr>
          <w:rFonts w:asciiTheme="majorHAnsi" w:hAnsiTheme="majorHAnsi"/>
        </w:rPr>
        <w:t>Sorprende, dunque, la sostanziale emarginazione dalla “grande storia dell’arte” cui la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 xml:space="preserve">critica ha condannato questa seconda fase del movimento. A </w:t>
      </w:r>
      <w:proofErr w:type="gramStart"/>
      <w:r w:rsidRPr="006C31F8">
        <w:rPr>
          <w:rFonts w:asciiTheme="majorHAnsi" w:hAnsiTheme="majorHAnsi"/>
        </w:rPr>
        <w:t>tale</w:t>
      </w:r>
      <w:proofErr w:type="gramEnd"/>
      <w:r w:rsidRPr="006C31F8">
        <w:rPr>
          <w:rFonts w:asciiTheme="majorHAnsi" w:hAnsiTheme="majorHAnsi"/>
        </w:rPr>
        <w:t xml:space="preserve"> esclusione ha certo contribuito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anche il complesso legame con il regime fascista, un rapporto troppo spesso semplificato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e frainteso.</w:t>
      </w:r>
    </w:p>
    <w:p w14:paraId="548F20BE" w14:textId="77777777" w:rsidR="003A2EF6" w:rsidRDefault="006C31F8" w:rsidP="006C31F8">
      <w:pPr>
        <w:spacing w:after="80"/>
        <w:jc w:val="both"/>
        <w:rPr>
          <w:rFonts w:asciiTheme="majorHAnsi" w:hAnsiTheme="majorHAnsi"/>
        </w:rPr>
      </w:pPr>
      <w:r w:rsidRPr="006C31F8">
        <w:rPr>
          <w:rFonts w:asciiTheme="majorHAnsi" w:hAnsiTheme="majorHAnsi"/>
        </w:rPr>
        <w:t xml:space="preserve">Proprio </w:t>
      </w:r>
      <w:proofErr w:type="gramStart"/>
      <w:r w:rsidRPr="006C31F8">
        <w:rPr>
          <w:rFonts w:asciiTheme="majorHAnsi" w:hAnsiTheme="majorHAnsi"/>
        </w:rPr>
        <w:t>nell’ottica</w:t>
      </w:r>
      <w:proofErr w:type="gramEnd"/>
      <w:r w:rsidRPr="006C31F8">
        <w:rPr>
          <w:rFonts w:asciiTheme="majorHAnsi" w:hAnsiTheme="majorHAnsi"/>
        </w:rPr>
        <w:t xml:space="preserve"> di una sua rivalutazione e di una maggior chiarezza di analisi, dunque,</w:t>
      </w:r>
      <w:r>
        <w:rPr>
          <w:rFonts w:asciiTheme="majorHAnsi" w:hAnsiTheme="majorHAnsi"/>
        </w:rPr>
        <w:t xml:space="preserve"> la mostra</w:t>
      </w:r>
      <w:r w:rsidRPr="006C31F8">
        <w:rPr>
          <w:rFonts w:asciiTheme="majorHAnsi" w:hAnsiTheme="majorHAnsi"/>
        </w:rPr>
        <w:t xml:space="preserve"> intende raccontare soprattutto la seconda fase dell’Avanguardia futurista,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meno nota al grande pubblico, riscoprendone, oltre ai grandi protagonisti, anche alcuni</w:t>
      </w:r>
      <w:r>
        <w:rPr>
          <w:rFonts w:asciiTheme="majorHAnsi" w:hAnsiTheme="majorHAnsi"/>
        </w:rPr>
        <w:t xml:space="preserve"> </w:t>
      </w:r>
      <w:r w:rsidRPr="006C31F8">
        <w:rPr>
          <w:rFonts w:asciiTheme="majorHAnsi" w:hAnsiTheme="majorHAnsi"/>
        </w:rPr>
        <w:t>esponenti meno celebri, sorprendenti quanto a personalità e originalità di linguaggio.</w:t>
      </w:r>
    </w:p>
    <w:p w14:paraId="11E80BAB" w14:textId="77777777" w:rsidR="006C31F8" w:rsidRDefault="003A2EF6" w:rsidP="003A2EF6">
      <w:pPr>
        <w:spacing w:after="12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Lecco, 17 marzo 2023</w:t>
      </w:r>
      <w:bookmarkStart w:id="0" w:name="_GoBack"/>
      <w:bookmarkEnd w:id="0"/>
    </w:p>
    <w:p w14:paraId="0E144F27" w14:textId="77777777" w:rsidR="00803CF4" w:rsidRPr="003A2EF6" w:rsidRDefault="003A2EF6" w:rsidP="003A2EF6">
      <w:pPr>
        <w:spacing w:after="120"/>
        <w:jc w:val="both"/>
        <w:rPr>
          <w:rFonts w:asciiTheme="majorHAnsi" w:hAnsiTheme="majorHAnsi"/>
        </w:rPr>
      </w:pPr>
      <w:r w:rsidRPr="003A2EF6">
        <w:rPr>
          <w:rFonts w:asciiTheme="majorHAnsi" w:hAnsiTheme="maj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3C2D4F34" wp14:editId="31445509">
            <wp:simplePos x="0" y="0"/>
            <wp:positionH relativeFrom="margin">
              <wp:posOffset>-387985</wp:posOffset>
            </wp:positionH>
            <wp:positionV relativeFrom="page">
              <wp:posOffset>170815</wp:posOffset>
            </wp:positionV>
            <wp:extent cx="6894195" cy="914400"/>
            <wp:effectExtent l="0" t="0" r="1905" b="0"/>
            <wp:wrapSquare wrapText="bothSides"/>
            <wp:docPr id="2" name="Immagin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94195" cy="914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31F8">
        <w:rPr>
          <w:rFonts w:asciiTheme="majorHAnsi" w:hAnsiTheme="majorHAnsi"/>
          <w:b/>
        </w:rPr>
        <w:t xml:space="preserve">* Estratto dal testo in catalogo </w:t>
      </w:r>
      <w:r w:rsidR="006C31F8" w:rsidRPr="006C31F8">
        <w:rPr>
          <w:rFonts w:asciiTheme="majorHAnsi" w:hAnsiTheme="majorHAnsi"/>
          <w:b/>
        </w:rPr>
        <w:t>Silvana Editoriale</w:t>
      </w:r>
    </w:p>
    <w:sectPr w:rsidR="00803CF4" w:rsidRPr="003A2EF6" w:rsidSect="006C31F8">
      <w:pgSz w:w="11900" w:h="16840"/>
      <w:pgMar w:top="141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7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EF6"/>
    <w:rsid w:val="003A2EF6"/>
    <w:rsid w:val="006C31F8"/>
    <w:rsid w:val="00803CF4"/>
    <w:rsid w:val="00E73EC1"/>
    <w:rsid w:val="00EE29E5"/>
    <w:rsid w:val="00FC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2E099A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6" Type="http://schemas.openxmlformats.org/officeDocument/2006/relationships/fontTable" Target="fontTable.xml"/><Relationship Id="rId1" Type="http://schemas.openxmlformats.org/officeDocument/2006/relationships/styles" Target="styles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6" ma:contentTypeDescription="Creare un nuovo documento." ma:contentTypeScope="" ma:versionID="0525cf40d538048f07bae0ad1a408a90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8da37af0d912d3727c190bb05e31314e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2B6E7C-E48A-4816-9E41-835E00C802A5}"/>
</file>

<file path=customXml/itemProps2.xml><?xml version="1.0" encoding="utf-8"?>
<ds:datastoreItem xmlns:ds="http://schemas.openxmlformats.org/officeDocument/2006/customXml" ds:itemID="{C7A516FF-515A-4434-8834-D006EED4B3C0}"/>
</file>

<file path=customXml/itemProps3.xml><?xml version="1.0" encoding="utf-8"?>
<ds:datastoreItem xmlns:ds="http://schemas.openxmlformats.org/officeDocument/2006/customXml" ds:itemID="{EDC71552-0F8C-4AF3-B199-997A89DE1D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545</Words>
  <Characters>3074</Characters>
  <Application>Microsoft Macintosh Word</Application>
  <DocSecurity>0</DocSecurity>
  <Lines>62</Lines>
  <Paragraphs>12</Paragraphs>
  <ScaleCrop>false</ScaleCrop>
  <Company/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Gino Latino</dc:creator>
  <cp:keywords/>
  <dc:description/>
  <cp:lastModifiedBy>Gino Latino</cp:lastModifiedBy>
  <cp:revision>3</cp:revision>
  <dcterms:created xsi:type="dcterms:W3CDTF">2023-03-15T15:48:00Z</dcterms:created>
  <dcterms:modified xsi:type="dcterms:W3CDTF">2023-03-15T15:53:00Z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