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81688" w14:textId="40EEABDD" w:rsidR="00A0703A" w:rsidRDefault="00A0703A" w:rsidP="004F3590">
      <w:pPr>
        <w:spacing w:after="0"/>
        <w:jc w:val="both"/>
        <w:rPr>
          <w:b/>
          <w:bCs/>
          <w:sz w:val="28"/>
          <w:szCs w:val="28"/>
        </w:rPr>
      </w:pPr>
      <w:r w:rsidRPr="00A0703A">
        <w:rPr>
          <w:b/>
          <w:bCs/>
          <w:sz w:val="28"/>
          <w:szCs w:val="28"/>
        </w:rPr>
        <w:t>PAOLO VIOLINI</w:t>
      </w:r>
    </w:p>
    <w:p w14:paraId="098E6539" w14:textId="37CA7B1F" w:rsidR="002D290A" w:rsidRDefault="00A0703A" w:rsidP="004F3590">
      <w:pPr>
        <w:spacing w:after="0"/>
        <w:jc w:val="both"/>
        <w:rPr>
          <w:b/>
          <w:bCs/>
          <w:sz w:val="28"/>
          <w:szCs w:val="28"/>
        </w:rPr>
      </w:pPr>
      <w:r w:rsidRPr="00A0703A">
        <w:rPr>
          <w:b/>
          <w:bCs/>
          <w:sz w:val="28"/>
          <w:szCs w:val="28"/>
        </w:rPr>
        <w:t>Maestro Restauratore del Laboratorio di Restauro Dipinti dei Musei Vaticani</w:t>
      </w:r>
    </w:p>
    <w:p w14:paraId="7975FF83" w14:textId="208E521D" w:rsidR="00774AB4" w:rsidRDefault="00774AB4" w:rsidP="00774AB4">
      <w:pPr>
        <w:spacing w:after="0"/>
        <w:rPr>
          <w:sz w:val="24"/>
          <w:szCs w:val="24"/>
        </w:rPr>
      </w:pPr>
    </w:p>
    <w:p w14:paraId="0EF0F795" w14:textId="18A42870" w:rsidR="00C95CD0" w:rsidRPr="004F3590" w:rsidRDefault="00A13C0C" w:rsidP="00A13C0C">
      <w:pPr>
        <w:spacing w:after="0"/>
        <w:rPr>
          <w:i/>
          <w:iCs/>
          <w:sz w:val="24"/>
          <w:szCs w:val="24"/>
        </w:rPr>
      </w:pPr>
      <w:r w:rsidRPr="00A13C0C">
        <w:rPr>
          <w:b/>
          <w:bCs/>
          <w:sz w:val="24"/>
          <w:szCs w:val="24"/>
        </w:rPr>
        <w:t>La predella della</w:t>
      </w:r>
      <w:r w:rsidRPr="00A13C0C">
        <w:rPr>
          <w:b/>
          <w:bCs/>
          <w:i/>
          <w:iCs/>
          <w:sz w:val="24"/>
          <w:szCs w:val="24"/>
        </w:rPr>
        <w:t xml:space="preserve"> Pala Oddi.</w:t>
      </w:r>
      <w:r>
        <w:rPr>
          <w:b/>
          <w:bCs/>
          <w:i/>
          <w:iCs/>
          <w:sz w:val="24"/>
          <w:szCs w:val="24"/>
        </w:rPr>
        <w:t xml:space="preserve"> </w:t>
      </w:r>
      <w:r w:rsidRPr="00A13C0C">
        <w:rPr>
          <w:b/>
          <w:bCs/>
          <w:sz w:val="24"/>
          <w:szCs w:val="24"/>
        </w:rPr>
        <w:t xml:space="preserve">Note sul restauro e sulla tecnica </w:t>
      </w:r>
      <w:proofErr w:type="gramStart"/>
      <w:r w:rsidRPr="00A13C0C">
        <w:rPr>
          <w:b/>
          <w:bCs/>
          <w:sz w:val="24"/>
          <w:szCs w:val="24"/>
        </w:rPr>
        <w:t>esecutiva</w:t>
      </w:r>
      <w:r w:rsidR="002D290A">
        <w:rPr>
          <w:b/>
          <w:bCs/>
          <w:i/>
          <w:iCs/>
          <w:sz w:val="24"/>
          <w:szCs w:val="24"/>
        </w:rPr>
        <w:t xml:space="preserve">  *</w:t>
      </w:r>
      <w:proofErr w:type="gramEnd"/>
    </w:p>
    <w:p w14:paraId="617C4DFE" w14:textId="39E1C4EB" w:rsidR="002D290A" w:rsidRDefault="002D290A" w:rsidP="004F3590">
      <w:pPr>
        <w:spacing w:after="120"/>
        <w:jc w:val="both"/>
        <w:rPr>
          <w:sz w:val="24"/>
          <w:szCs w:val="24"/>
        </w:rPr>
      </w:pPr>
    </w:p>
    <w:p w14:paraId="13603ED9" w14:textId="5868F6FE" w:rsidR="00B346DE" w:rsidRPr="00B346DE" w:rsidRDefault="00B346DE" w:rsidP="00B346DE">
      <w:pPr>
        <w:spacing w:after="120"/>
        <w:jc w:val="both"/>
        <w:rPr>
          <w:sz w:val="24"/>
          <w:szCs w:val="24"/>
        </w:rPr>
      </w:pPr>
      <w:r w:rsidRPr="00B346DE">
        <w:rPr>
          <w:sz w:val="24"/>
          <w:szCs w:val="24"/>
        </w:rPr>
        <w:t xml:space="preserve">La storia conservativa della predella della </w:t>
      </w:r>
      <w:r w:rsidRPr="00B346DE">
        <w:rPr>
          <w:i/>
          <w:iCs/>
          <w:sz w:val="24"/>
          <w:szCs w:val="24"/>
        </w:rPr>
        <w:t xml:space="preserve">Pala Oddi </w:t>
      </w:r>
      <w:r w:rsidRPr="00B346DE">
        <w:rPr>
          <w:sz w:val="24"/>
          <w:szCs w:val="24"/>
        </w:rPr>
        <w:t>è da sempre legata 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quella della pala principale con l’</w:t>
      </w:r>
      <w:r w:rsidRPr="00B346DE">
        <w:rPr>
          <w:i/>
          <w:iCs/>
          <w:sz w:val="24"/>
          <w:szCs w:val="24"/>
        </w:rPr>
        <w:t>Incoronazione della Vergine</w:t>
      </w:r>
      <w:r w:rsidRPr="00B346DE">
        <w:rPr>
          <w:sz w:val="24"/>
          <w:szCs w:val="24"/>
        </w:rPr>
        <w:t>, alla quale era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originariamente unita in una struttura lignea che doveva incorniciare entrambe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le opere e che fu eseguita nel 1505 dal maestro carpentiere Antonio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Bencivenni da Mercatello.</w:t>
      </w:r>
    </w:p>
    <w:p w14:paraId="61FA9B3C" w14:textId="78C322AA" w:rsidR="00B346DE" w:rsidRPr="00B346DE" w:rsidRDefault="00B346DE" w:rsidP="00B346DE">
      <w:pPr>
        <w:spacing w:after="120"/>
        <w:jc w:val="both"/>
        <w:rPr>
          <w:sz w:val="24"/>
          <w:szCs w:val="24"/>
        </w:rPr>
      </w:pPr>
      <w:r w:rsidRPr="00B346DE">
        <w:rPr>
          <w:sz w:val="24"/>
          <w:szCs w:val="24"/>
        </w:rPr>
        <w:t xml:space="preserve">Nella </w:t>
      </w:r>
      <w:r w:rsidRPr="00B346DE">
        <w:rPr>
          <w:i/>
          <w:iCs/>
          <w:sz w:val="24"/>
          <w:szCs w:val="24"/>
        </w:rPr>
        <w:t xml:space="preserve">Guida </w:t>
      </w:r>
      <w:proofErr w:type="gramStart"/>
      <w:r w:rsidRPr="00B346DE">
        <w:rPr>
          <w:i/>
          <w:iCs/>
          <w:sz w:val="24"/>
          <w:szCs w:val="24"/>
        </w:rPr>
        <w:t>al forestiere</w:t>
      </w:r>
      <w:proofErr w:type="gramEnd"/>
      <w:r w:rsidRPr="00B346DE">
        <w:rPr>
          <w:i/>
          <w:iCs/>
          <w:sz w:val="24"/>
          <w:szCs w:val="24"/>
        </w:rPr>
        <w:t xml:space="preserve"> per l’augusta città di Perugia </w:t>
      </w:r>
      <w:r w:rsidRPr="00B346DE">
        <w:rPr>
          <w:sz w:val="24"/>
          <w:szCs w:val="24"/>
        </w:rPr>
        <w:t>di Baldassarre Orsini,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pubblicata nel 1784, il dipinto, con la sua predella, era descritto ancora nella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cappella di famiglia degli Oddi in San Francesco al Prato, dove rimase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fino alla deportazione in Francia a seguito delle requisizioni napoleoniche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conseguenti al Trattato di Tolentino del 1797. In ragione di quest’ultimo,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nello stesso anno i due dipinti furono rimossi dall’arredo ligneo che li incorniciava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e che invece, rimasto a Perugia, andò disperso.</w:t>
      </w:r>
    </w:p>
    <w:p w14:paraId="043D29FA" w14:textId="0FD0B4C8" w:rsidR="00B346DE" w:rsidRPr="00B346DE" w:rsidRDefault="00B346DE" w:rsidP="00B346DE">
      <w:pPr>
        <w:spacing w:after="120"/>
        <w:jc w:val="both"/>
        <w:rPr>
          <w:sz w:val="24"/>
          <w:szCs w:val="24"/>
        </w:rPr>
      </w:pPr>
      <w:r w:rsidRPr="00B346DE">
        <w:rPr>
          <w:sz w:val="24"/>
          <w:szCs w:val="24"/>
        </w:rPr>
        <w:t>Il buono stato di conservazione della predella venne riconosciuto anche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dai tecnici francesi nel 1798 al momento dell’apertura della cassa n. 50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proveniente da Perugia e permise di evitare il traumatico trattamento del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trasporto di colore, subìto invece dalla pala alcuni anni più tardi a opera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 xml:space="preserve">dei restauratori del Musée </w:t>
      </w:r>
      <w:proofErr w:type="spellStart"/>
      <w:r w:rsidRPr="00B346DE">
        <w:rPr>
          <w:sz w:val="24"/>
          <w:szCs w:val="24"/>
        </w:rPr>
        <w:t>Napoléon</w:t>
      </w:r>
      <w:proofErr w:type="spellEnd"/>
      <w:r w:rsidRPr="00B346DE">
        <w:rPr>
          <w:sz w:val="24"/>
          <w:szCs w:val="24"/>
        </w:rPr>
        <w:t>.</w:t>
      </w:r>
    </w:p>
    <w:p w14:paraId="20277C5C" w14:textId="29CD5A56" w:rsidR="00B346DE" w:rsidRPr="00B346DE" w:rsidRDefault="00B346DE" w:rsidP="00B346DE">
      <w:pPr>
        <w:spacing w:after="120"/>
        <w:jc w:val="both"/>
        <w:rPr>
          <w:sz w:val="24"/>
          <w:szCs w:val="24"/>
        </w:rPr>
      </w:pPr>
      <w:r w:rsidRPr="00B346DE">
        <w:rPr>
          <w:sz w:val="24"/>
          <w:szCs w:val="24"/>
        </w:rPr>
        <w:t>Entrate a far parte delle collezioni vaticane al ritorno dalla Francia, pala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 xml:space="preserve">e predella furono restaurate negli anni </w:t>
      </w:r>
      <w:proofErr w:type="gramStart"/>
      <w:r w:rsidRPr="00B346DE">
        <w:rPr>
          <w:sz w:val="24"/>
          <w:szCs w:val="24"/>
        </w:rPr>
        <w:t>cinquanta</w:t>
      </w:r>
      <w:proofErr w:type="gramEnd"/>
      <w:r w:rsidRPr="00B346DE">
        <w:rPr>
          <w:sz w:val="24"/>
          <w:szCs w:val="24"/>
        </w:rPr>
        <w:t xml:space="preserve"> del secolo scorso sotto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 xml:space="preserve">la guida di </w:t>
      </w:r>
      <w:proofErr w:type="spellStart"/>
      <w:r w:rsidRPr="00B346DE">
        <w:rPr>
          <w:sz w:val="24"/>
          <w:szCs w:val="24"/>
        </w:rPr>
        <w:t>Deoclecio</w:t>
      </w:r>
      <w:proofErr w:type="spellEnd"/>
      <w:r w:rsidRPr="00B346DE">
        <w:rPr>
          <w:sz w:val="24"/>
          <w:szCs w:val="24"/>
        </w:rPr>
        <w:t xml:space="preserve"> </w:t>
      </w:r>
      <w:proofErr w:type="spellStart"/>
      <w:r w:rsidRPr="00B346DE">
        <w:rPr>
          <w:sz w:val="24"/>
          <w:szCs w:val="24"/>
        </w:rPr>
        <w:t>Redig</w:t>
      </w:r>
      <w:proofErr w:type="spellEnd"/>
      <w:r w:rsidRPr="00B346DE">
        <w:rPr>
          <w:sz w:val="24"/>
          <w:szCs w:val="24"/>
        </w:rPr>
        <w:t xml:space="preserve"> de Campos. Nella relazione del restauro della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predella, condotto nel marzo 1959, Luigi Brandi confermò il buono stato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di conservazione sia del supporto sia degli strati pittorici, notando solo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pochissimi fori di tarli e cadute di colore quasi nulle e rilevando che “in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complesso tutto il dipinto si mostrava in perfetto stato, […] l’imprimitura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ancor giovane ed efficientissima, il colore ancora splendente e compatto,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sofferenti soltanto gli azzurri nel lapislazzuli ossidato e calcinato aggravato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ancor più dall’inaridirsi della vernice”.</w:t>
      </w:r>
    </w:p>
    <w:p w14:paraId="170D4CBF" w14:textId="6F7FADFC" w:rsidR="00B346DE" w:rsidRPr="00B346DE" w:rsidRDefault="00B346DE" w:rsidP="00B346DE">
      <w:pPr>
        <w:spacing w:after="120"/>
        <w:jc w:val="both"/>
        <w:rPr>
          <w:sz w:val="24"/>
          <w:szCs w:val="24"/>
        </w:rPr>
      </w:pPr>
      <w:r w:rsidRPr="00B346DE">
        <w:rPr>
          <w:sz w:val="24"/>
          <w:szCs w:val="24"/>
        </w:rPr>
        <w:t>Tuttavia, nell’arco di oltre sessant’anni, i materiali utilizzati nell’ultimo restauro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si sono alterati, provocando un effetto di ingiallimento generalizzato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dei colori e una diminuzione sensibile dei contrasti chiaroscurali. L’effetto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appariva particolarmente evidente a carico dei pigmenti più scuri e freddi,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ingrigiti dall’ossidazione della vernice di restauro, mentre nelle campiture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più chiare spiccava la dominante gialla del protettivo alterato, unitamente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a molti residui di sporco non completamente rimossi all’interno dei rilievi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delle pennellate più materiche.</w:t>
      </w:r>
    </w:p>
    <w:p w14:paraId="390DCA2A" w14:textId="10101131" w:rsidR="00B346DE" w:rsidRPr="00B346DE" w:rsidRDefault="00B346DE" w:rsidP="00B346DE">
      <w:pPr>
        <w:spacing w:after="120"/>
        <w:jc w:val="both"/>
        <w:rPr>
          <w:sz w:val="24"/>
          <w:szCs w:val="24"/>
        </w:rPr>
      </w:pPr>
      <w:r w:rsidRPr="00B346DE">
        <w:rPr>
          <w:sz w:val="24"/>
          <w:szCs w:val="24"/>
        </w:rPr>
        <w:t>Le indagini eseguite dal Gabinetto di Ricerche Scientifiche applicate ai Beni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Culturali dei Musei Vaticani hanno fornito informazioni preziose sullo stato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di conservazione e sulla tecnica esecutiva della tavola6. In particolare, dalle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riprese in luce ultravioletta si notava come l’ossidazione generalizzata della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vernice novecentesca nascondesse anche molti residui di vernici più antiche,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rimosse solo parzialmente e in maniera disomogenea nell’ultimo intervento. Questo dato testimoniava come la predella avesse subìto altri restauri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in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precedenza i quali, dato il suo buono stato di conservazione generale, possono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considerarsi come interventi di manutenzione, consistiti perlopiù in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verniciature ripetute. In occasione di uno di questi, probabilmente nell’Ottocento,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 xml:space="preserve">deve </w:t>
      </w:r>
      <w:r w:rsidRPr="00B346DE">
        <w:rPr>
          <w:sz w:val="24"/>
          <w:szCs w:val="24"/>
        </w:rPr>
        <w:lastRenderedPageBreak/>
        <w:t>essere stata installata nel retro della tavola la struttura di contenimento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dei movimenti del legno, formata da quattro barre di ferro a sezione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quadrata poste in verticale e trattenute da staffe a ponte.</w:t>
      </w:r>
    </w:p>
    <w:p w14:paraId="73A21052" w14:textId="3A96B402" w:rsidR="00B346DE" w:rsidRPr="00B346DE" w:rsidRDefault="00B346DE" w:rsidP="00B346DE">
      <w:pPr>
        <w:spacing w:after="120"/>
        <w:jc w:val="both"/>
        <w:rPr>
          <w:sz w:val="24"/>
          <w:szCs w:val="24"/>
        </w:rPr>
      </w:pPr>
      <w:r w:rsidRPr="00B346DE">
        <w:rPr>
          <w:sz w:val="24"/>
          <w:szCs w:val="24"/>
        </w:rPr>
        <w:t>La stratificazione di vecchie vernici ossidate è anche la causa della particolare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alterazione subita dai pigmenti azzurri, già evidenziata da Brandi 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del tutto analoga, anche se meno evidente, a quella del blu del manto della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Vergine nella pala.</w:t>
      </w:r>
    </w:p>
    <w:p w14:paraId="254C479C" w14:textId="29949139" w:rsidR="00B346DE" w:rsidRDefault="00B346DE" w:rsidP="00B346DE">
      <w:pPr>
        <w:spacing w:after="120"/>
        <w:jc w:val="both"/>
        <w:rPr>
          <w:sz w:val="24"/>
          <w:szCs w:val="24"/>
        </w:rPr>
      </w:pPr>
      <w:r w:rsidRPr="00B346DE">
        <w:rPr>
          <w:sz w:val="24"/>
          <w:szCs w:val="24"/>
        </w:rPr>
        <w:t>Allo stesso modo, anche nella predella la pulitura ha permesso di ritrovare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il corretto chiaroscuro delle vesti blu realizzate con lapislazzuli, pigmento di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granulometria piuttosto rilevata, steso spesso su una base di azzurrite che gli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ha conferito un tono a tratti più verdastro. Molte altre campiture, in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particolare gli azzurri dei cieli e i toni scuri composti con una percentuale variabile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di lapislazzuli, come i panneggi violacei, hanno riacquistato i corretti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valori grazie alla rimozione di tutti i residui delle vecchie vernici stratificate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che avevano reso piatto e grigiastro il modellato</w:t>
      </w:r>
      <w:r>
        <w:rPr>
          <w:sz w:val="24"/>
          <w:szCs w:val="24"/>
        </w:rPr>
        <w:t xml:space="preserve">. </w:t>
      </w:r>
      <w:r w:rsidRPr="00B346DE">
        <w:rPr>
          <w:sz w:val="24"/>
          <w:szCs w:val="24"/>
        </w:rPr>
        <w:t>A pulitura conclusa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è finalmente possibile apprezzare la preziosa alternanza tra le pennellate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materiche dei panneggi, dei paesaggi e delle architetture e le campiture sottili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degli incarnati, dipinti a velatura sfruttando il tono della preparazione e definiti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con minute ed essenziali pennellate di colore che spesso ribadiscono il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delicato disegno preparatorio, occasionalmente lasciato anche a vista.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Sono riemersi i toni più freddi e squillanti dei panneggi, come nella scena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dell’</w:t>
      </w:r>
      <w:r w:rsidRPr="00B346DE">
        <w:rPr>
          <w:i/>
          <w:iCs/>
          <w:sz w:val="24"/>
          <w:szCs w:val="24"/>
        </w:rPr>
        <w:t>Adorazione dei Magi</w:t>
      </w:r>
      <w:r w:rsidRPr="00B346DE">
        <w:rPr>
          <w:sz w:val="24"/>
          <w:szCs w:val="24"/>
        </w:rPr>
        <w:t>, dove gli spazi sono scanditi dall’alternanza dei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personaggi, sapientemente distinti dai diversi colori e separati dalla luce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proveniente da destra che evidenzia i piani nella profondità. Il medesimo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espediente caratterizza anche le altre due scene, l’</w:t>
      </w:r>
      <w:r w:rsidRPr="00B346DE">
        <w:rPr>
          <w:i/>
          <w:iCs/>
          <w:sz w:val="24"/>
          <w:szCs w:val="24"/>
        </w:rPr>
        <w:t xml:space="preserve">Annunciazione </w:t>
      </w:r>
      <w:r w:rsidRPr="00B346DE">
        <w:rPr>
          <w:sz w:val="24"/>
          <w:szCs w:val="24"/>
        </w:rPr>
        <w:t xml:space="preserve">e la </w:t>
      </w:r>
      <w:r w:rsidRPr="00B346DE">
        <w:rPr>
          <w:i/>
          <w:iCs/>
          <w:sz w:val="24"/>
          <w:szCs w:val="24"/>
        </w:rPr>
        <w:t>Presentazione</w:t>
      </w:r>
      <w:r>
        <w:rPr>
          <w:i/>
          <w:iCs/>
          <w:sz w:val="24"/>
          <w:szCs w:val="24"/>
        </w:rPr>
        <w:t xml:space="preserve"> </w:t>
      </w:r>
      <w:r w:rsidRPr="00B346DE">
        <w:rPr>
          <w:i/>
          <w:iCs/>
          <w:sz w:val="24"/>
          <w:szCs w:val="24"/>
        </w:rPr>
        <w:t>al tempio</w:t>
      </w:r>
      <w:r w:rsidRPr="00B346DE">
        <w:rPr>
          <w:sz w:val="24"/>
          <w:szCs w:val="24"/>
        </w:rPr>
        <w:t>, dove invece lo spazio è fortemente regolato dall’architettura.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Qui la pulitura ha rivelato lo straordinario talento di Raffaello nel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dominare la prospettiva e la teoria delle ombre, creando superfici sensibilissime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al passaggio chiaroscurale, ottenute con una pennellata rapida, fluida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e decisa. Quasi tutte le campiture architettoniche erano state infatti ridipinte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a velature con l’intento di rinforzare il contrasto, reso sempre meno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leggibile dall’alterazione delle vernici.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Nell’</w:t>
      </w:r>
      <w:r w:rsidRPr="00B346DE">
        <w:rPr>
          <w:i/>
          <w:iCs/>
          <w:sz w:val="24"/>
          <w:szCs w:val="24"/>
        </w:rPr>
        <w:t xml:space="preserve">Annunciazione </w:t>
      </w:r>
      <w:r w:rsidRPr="00B346DE">
        <w:rPr>
          <w:sz w:val="24"/>
          <w:szCs w:val="24"/>
        </w:rPr>
        <w:t>la pulitura ha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permesso di recuperare la delicata, ma rigorosa variazione chiaroscurale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nelle superfici diversamente esposte a una luce che entra nella scena principalmente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dal fronte, ma che poi si presenta anche dal retro del porticato,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evidenziando l’ultima parte del pavimento che apre la vista sul paesaggio</w:t>
      </w:r>
      <w:r>
        <w:rPr>
          <w:sz w:val="24"/>
          <w:szCs w:val="24"/>
        </w:rPr>
        <w:t xml:space="preserve"> </w:t>
      </w:r>
      <w:r w:rsidRPr="00B346DE">
        <w:rPr>
          <w:sz w:val="24"/>
          <w:szCs w:val="24"/>
        </w:rPr>
        <w:t>illuminato dai toni caldi del tramonto.</w:t>
      </w:r>
    </w:p>
    <w:p w14:paraId="1B5A6211" w14:textId="77777777" w:rsidR="002D290A" w:rsidRDefault="002D290A" w:rsidP="004F3590">
      <w:pPr>
        <w:spacing w:after="0"/>
        <w:jc w:val="both"/>
        <w:rPr>
          <w:sz w:val="24"/>
          <w:szCs w:val="24"/>
        </w:rPr>
      </w:pPr>
    </w:p>
    <w:p w14:paraId="178C65FA" w14:textId="6DA11A3D" w:rsidR="00774AB4" w:rsidRDefault="00774AB4" w:rsidP="004F359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Milano, 3 novembre 2022</w:t>
      </w:r>
    </w:p>
    <w:p w14:paraId="2327D6D0" w14:textId="77777777" w:rsidR="000E12DD" w:rsidRDefault="000E12DD" w:rsidP="000E12DD">
      <w:pPr>
        <w:spacing w:after="0"/>
        <w:jc w:val="both"/>
        <w:rPr>
          <w:sz w:val="24"/>
          <w:szCs w:val="24"/>
        </w:rPr>
      </w:pPr>
    </w:p>
    <w:p w14:paraId="587888E0" w14:textId="19CD3FE7" w:rsidR="000E12DD" w:rsidRPr="000E12DD" w:rsidRDefault="000E12DD" w:rsidP="004F3590">
      <w:pPr>
        <w:spacing w:after="0"/>
        <w:jc w:val="both"/>
        <w:rPr>
          <w:b/>
          <w:bCs/>
          <w:sz w:val="24"/>
          <w:szCs w:val="24"/>
        </w:rPr>
      </w:pPr>
      <w:r w:rsidRPr="0010327F">
        <w:rPr>
          <w:b/>
          <w:bCs/>
          <w:sz w:val="24"/>
          <w:szCs w:val="24"/>
        </w:rPr>
        <w:t>* Estratto dal testo in catalogo Silvana Editoriale</w:t>
      </w:r>
    </w:p>
    <w:sectPr w:rsidR="000E12DD" w:rsidRPr="000E12DD" w:rsidSect="004F3590">
      <w:headerReference w:type="first" r:id="rId9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DBB0C" w14:textId="77777777" w:rsidR="00774AB4" w:rsidRDefault="00774AB4" w:rsidP="00774AB4">
      <w:pPr>
        <w:spacing w:after="0" w:line="240" w:lineRule="auto"/>
      </w:pPr>
      <w:r>
        <w:separator/>
      </w:r>
    </w:p>
  </w:endnote>
  <w:endnote w:type="continuationSeparator" w:id="0">
    <w:p w14:paraId="4410818F" w14:textId="77777777" w:rsidR="00774AB4" w:rsidRDefault="00774AB4" w:rsidP="00774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9F5CA" w14:textId="77777777" w:rsidR="00774AB4" w:rsidRDefault="00774AB4" w:rsidP="00774AB4">
      <w:pPr>
        <w:spacing w:after="0" w:line="240" w:lineRule="auto"/>
      </w:pPr>
      <w:r>
        <w:separator/>
      </w:r>
    </w:p>
  </w:footnote>
  <w:footnote w:type="continuationSeparator" w:id="0">
    <w:p w14:paraId="031E061E" w14:textId="77777777" w:rsidR="00774AB4" w:rsidRDefault="00774AB4" w:rsidP="00774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52"/>
      <w:gridCol w:w="2616"/>
      <w:gridCol w:w="2075"/>
      <w:gridCol w:w="1795"/>
    </w:tblGrid>
    <w:tr w:rsidR="00774AB4" w14:paraId="34240E20" w14:textId="77777777" w:rsidTr="00DC4AD6">
      <w:tc>
        <w:tcPr>
          <w:tcW w:w="2407" w:type="dxa"/>
          <w:vAlign w:val="center"/>
        </w:tcPr>
        <w:p w14:paraId="07E30911" w14:textId="77777777" w:rsidR="00774AB4" w:rsidRDefault="00774AB4" w:rsidP="00774AB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663EB82A" wp14:editId="0F2C1B99">
                <wp:extent cx="1864360" cy="58102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365" r="67385"/>
                        <a:stretch/>
                      </pic:blipFill>
                      <pic:spPr bwMode="auto">
                        <a:xfrm>
                          <a:off x="0" y="0"/>
                          <a:ext cx="186436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2BDF8BC5" w14:textId="77777777" w:rsidR="00774AB4" w:rsidRDefault="00774AB4" w:rsidP="00774AB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A2B651F" wp14:editId="5DD31400">
                <wp:extent cx="1524000" cy="629939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4875" t="41956"/>
                        <a:stretch/>
                      </pic:blipFill>
                      <pic:spPr bwMode="auto">
                        <a:xfrm>
                          <a:off x="0" y="0"/>
                          <a:ext cx="1537423" cy="6354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3A01E00E" w14:textId="77777777" w:rsidR="00774AB4" w:rsidRDefault="00774AB4" w:rsidP="00774AB4">
          <w:pPr>
            <w:pStyle w:val="Intestazione"/>
            <w:jc w:val="center"/>
          </w:pPr>
          <w:r w:rsidRPr="00870C61">
            <w:rPr>
              <w:rFonts w:cs="Calibri"/>
              <w:noProof/>
            </w:rPr>
            <w:drawing>
              <wp:inline distT="0" distB="0" distL="0" distR="0" wp14:anchorId="05B3379E" wp14:editId="4769664A">
                <wp:extent cx="1074967" cy="660400"/>
                <wp:effectExtent l="0" t="0" r="0" b="635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962" cy="6640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74FD4A9B" w14:textId="77777777" w:rsidR="00774AB4" w:rsidRDefault="00774AB4" w:rsidP="00774AB4">
          <w:pPr>
            <w:pStyle w:val="Intestazione"/>
            <w:jc w:val="center"/>
          </w:pPr>
          <w:r w:rsidRPr="00393031">
            <w:rPr>
              <w:b/>
              <w:noProof/>
              <w:sz w:val="28"/>
            </w:rPr>
            <w:drawing>
              <wp:inline distT="0" distB="0" distL="0" distR="0" wp14:anchorId="31860012" wp14:editId="7CBD8E8C">
                <wp:extent cx="807720" cy="664125"/>
                <wp:effectExtent l="0" t="0" r="0" b="317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1446" cy="6671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EEB315" w14:textId="77777777" w:rsidR="00774AB4" w:rsidRDefault="00774AB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AB4"/>
    <w:rsid w:val="0007355E"/>
    <w:rsid w:val="000E12DD"/>
    <w:rsid w:val="00107E65"/>
    <w:rsid w:val="002D290A"/>
    <w:rsid w:val="004F3590"/>
    <w:rsid w:val="005915FB"/>
    <w:rsid w:val="005A63F1"/>
    <w:rsid w:val="00774AB4"/>
    <w:rsid w:val="00825D40"/>
    <w:rsid w:val="00851112"/>
    <w:rsid w:val="00A0703A"/>
    <w:rsid w:val="00A13C0C"/>
    <w:rsid w:val="00B346DE"/>
    <w:rsid w:val="00C95CD0"/>
    <w:rsid w:val="00E97A3A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D876"/>
  <w15:chartTrackingRefBased/>
  <w15:docId w15:val="{1B1799CF-1346-439A-BD9E-A1373362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4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4AB4"/>
  </w:style>
  <w:style w:type="paragraph" w:styleId="Pidipagina">
    <w:name w:val="footer"/>
    <w:basedOn w:val="Normale"/>
    <w:link w:val="PidipaginaCarattere"/>
    <w:uiPriority w:val="99"/>
    <w:unhideWhenUsed/>
    <w:rsid w:val="00774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AB4"/>
  </w:style>
  <w:style w:type="table" w:styleId="Grigliatabella">
    <w:name w:val="Table Grid"/>
    <w:basedOn w:val="Tabellanormale"/>
    <w:uiPriority w:val="99"/>
    <w:rsid w:val="00774AB4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187092-3794-4876-AF52-F3FB6AF27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2044D4-6B74-4D56-9B1D-8CA460D8A076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4DF574DC-46AB-4341-9C54-D2C3A691A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5</cp:revision>
  <dcterms:created xsi:type="dcterms:W3CDTF">2022-10-25T12:28:00Z</dcterms:created>
  <dcterms:modified xsi:type="dcterms:W3CDTF">2022-10-26T12:39:00Z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