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5104" w14:textId="77777777" w:rsidR="00450D3F" w:rsidRDefault="00450D3F" w:rsidP="001C2B9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6E62670" w14:textId="77777777" w:rsidR="00450D3F" w:rsidRDefault="00450D3F" w:rsidP="001C2B9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E7D2FE1" w14:textId="77777777" w:rsidR="00450D3F" w:rsidRDefault="00450D3F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D3F">
        <w:rPr>
          <w:rFonts w:ascii="Arial" w:hAnsi="Arial" w:cs="Arial"/>
          <w:b/>
          <w:bCs/>
          <w:sz w:val="24"/>
          <w:szCs w:val="24"/>
        </w:rPr>
        <w:t>MURIEL VERVAT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C98E79" w14:textId="390F932D" w:rsidR="00450D3F" w:rsidRDefault="00472384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2384">
        <w:rPr>
          <w:rFonts w:ascii="Arial" w:hAnsi="Arial" w:cs="Arial"/>
          <w:b/>
          <w:bCs/>
          <w:sz w:val="24"/>
          <w:szCs w:val="24"/>
        </w:rPr>
        <w:t>Direttrice</w:t>
      </w:r>
      <w:r w:rsidR="001C2B9D" w:rsidRPr="00472384">
        <w:rPr>
          <w:rFonts w:ascii="Arial" w:hAnsi="Arial" w:cs="Arial"/>
          <w:b/>
          <w:bCs/>
          <w:sz w:val="24"/>
          <w:szCs w:val="24"/>
        </w:rPr>
        <w:t xml:space="preserve"> del</w:t>
      </w:r>
      <w:r w:rsidR="00450D3F" w:rsidRPr="00472384">
        <w:rPr>
          <w:rFonts w:ascii="Arial" w:hAnsi="Arial" w:cs="Arial"/>
          <w:b/>
          <w:bCs/>
          <w:sz w:val="24"/>
          <w:szCs w:val="24"/>
        </w:rPr>
        <w:t xml:space="preserve"> restauro</w:t>
      </w:r>
      <w:r w:rsidR="00450D3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E04D077" w14:textId="6ED5039B" w:rsidR="00450D3F" w:rsidRDefault="00450D3F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F84CC9" w14:textId="5CA6C868" w:rsidR="0073406F" w:rsidRDefault="0073406F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49B2E7" w14:textId="77777777" w:rsidR="00450D3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  <w:b/>
          <w:bCs/>
          <w:i/>
          <w:iCs/>
          <w:sz w:val="24"/>
          <w:szCs w:val="24"/>
        </w:rPr>
        <w:t>Il senso e il valore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50D3F">
        <w:rPr>
          <w:rFonts w:ascii="Arial" w:hAnsi="Arial" w:cs="Arial"/>
          <w:b/>
          <w:bCs/>
          <w:i/>
          <w:iCs/>
          <w:sz w:val="24"/>
          <w:szCs w:val="24"/>
        </w:rPr>
        <w:t>del restauro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50D3F">
        <w:rPr>
          <w:rFonts w:ascii="Arial" w:hAnsi="Arial" w:cs="Arial"/>
          <w:b/>
          <w:bCs/>
          <w:i/>
          <w:iCs/>
          <w:sz w:val="24"/>
          <w:szCs w:val="24"/>
        </w:rPr>
        <w:t>dell’opera Nero con punti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50D3F">
        <w:rPr>
          <w:rFonts w:ascii="Arial" w:hAnsi="Arial" w:cs="Arial"/>
          <w:b/>
          <w:bCs/>
          <w:i/>
          <w:iCs/>
          <w:sz w:val="24"/>
          <w:szCs w:val="24"/>
        </w:rPr>
        <w:t>di Alberto Burri</w:t>
      </w:r>
      <w:r w:rsidR="009A7B79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9A7B79" w:rsidRPr="009A7B79">
        <w:rPr>
          <w:rFonts w:ascii="Arial" w:hAnsi="Arial" w:cs="Arial"/>
          <w:b/>
          <w:bCs/>
          <w:i/>
          <w:iCs/>
          <w:sz w:val="28"/>
          <w:szCs w:val="28"/>
        </w:rPr>
        <w:t>*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</w:p>
    <w:p w14:paraId="3144C026" w14:textId="77777777" w:rsidR="0073406F" w:rsidRDefault="0073406F" w:rsidP="001C2B9D">
      <w:pPr>
        <w:spacing w:after="0" w:line="240" w:lineRule="auto"/>
        <w:jc w:val="both"/>
        <w:rPr>
          <w:rFonts w:ascii="Arial" w:hAnsi="Arial" w:cs="Arial"/>
        </w:rPr>
      </w:pPr>
    </w:p>
    <w:p w14:paraId="5C4D6CC3" w14:textId="77777777" w:rsidR="00450D3F" w:rsidRDefault="00450D3F" w:rsidP="001C2B9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50D3F">
        <w:rPr>
          <w:rFonts w:ascii="Arial" w:hAnsi="Arial" w:cs="Arial"/>
          <w:i/>
          <w:iCs/>
        </w:rPr>
        <w:t>Descrizione dell’opera e dello stato di conservazione prima del restauro</w:t>
      </w:r>
      <w:r>
        <w:rPr>
          <w:rFonts w:ascii="Arial" w:hAnsi="Arial" w:cs="Arial"/>
          <w:i/>
          <w:iCs/>
        </w:rPr>
        <w:t xml:space="preserve">. </w:t>
      </w:r>
    </w:p>
    <w:p w14:paraId="4FC8FD81" w14:textId="77777777" w:rsidR="0073406F" w:rsidRDefault="0073406F" w:rsidP="001C2B9D">
      <w:pPr>
        <w:spacing w:after="0" w:line="240" w:lineRule="auto"/>
        <w:jc w:val="both"/>
        <w:rPr>
          <w:rFonts w:ascii="Arial" w:hAnsi="Arial" w:cs="Arial"/>
        </w:rPr>
      </w:pPr>
    </w:p>
    <w:p w14:paraId="086F189E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L’opera presenta come sfondo una tela a tramatura molto sottile,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tinta di nera, tesa su un telaio in legno. Su questa base uniforme,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l’artista posiziona dei sacchi di iuta, di pezzature più o meno ampie,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lasciando una fascia centrale verticale vuota.</w:t>
      </w:r>
      <w:r>
        <w:rPr>
          <w:rFonts w:ascii="Arial" w:hAnsi="Arial" w:cs="Arial"/>
        </w:rPr>
        <w:t xml:space="preserve"> </w:t>
      </w:r>
    </w:p>
    <w:p w14:paraId="688EA6F1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Unisce poi i due lembi della composizione con una corda, che tende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come i lacci di una scarpa, congiungendo così il lato sinistro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della composizione con quello destro. La corda tesa crea una trazione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evidente: i bordi della tela di iuta sono staccati dallo sfondo 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per evitare una rottura della iuta nella zona centrale, sotto maggiore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tensione, i margini sono rinforzati con un cordolo cucito grossolanamente,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che potrebbe anche essere il bordo esterno del tessuto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più volte arrotolato e cucito per darle maggiore consistenza.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L’annodatura della corda inizia dall’alto, sul lato destro della composizione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 si conclude in basso con un nodo centrale ben visibile.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La corda non è formata dallo stesso filo continuo ma si contano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almeno tre annodature lungo i bordi.</w:t>
      </w:r>
      <w:r>
        <w:rPr>
          <w:rFonts w:ascii="Arial" w:hAnsi="Arial" w:cs="Arial"/>
        </w:rPr>
        <w:t xml:space="preserve"> </w:t>
      </w:r>
    </w:p>
    <w:p w14:paraId="081FE553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La tensione della cordicella rimane comunque uguale lungo tutto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il percorso, così che l’occhio dello spettatore, come un funambolo,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si sposta lentamente da una sponda all’altra della complessa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composizione senza incontrare difformità.</w:t>
      </w:r>
      <w:r>
        <w:rPr>
          <w:rFonts w:ascii="Arial" w:hAnsi="Arial" w:cs="Arial"/>
        </w:rPr>
        <w:t xml:space="preserve"> </w:t>
      </w:r>
    </w:p>
    <w:p w14:paraId="770770FC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Sul retro dell’opera, avvitati sul telaio, troviamo dei robusti pannelli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cartone che proteggono la tela di sostegno.</w:t>
      </w:r>
      <w:r>
        <w:rPr>
          <w:rFonts w:ascii="Arial" w:hAnsi="Arial" w:cs="Arial"/>
        </w:rPr>
        <w:t xml:space="preserve"> </w:t>
      </w:r>
    </w:p>
    <w:p w14:paraId="064D32EF" w14:textId="60B4D2C1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Non ci è dato sapere se questa scelta conservativa è originale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oppure è stata eseguita quando l’opera è stata inserita nella sua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attuale cornice. Quest'ultima sul retro, a sua volta, è munita di un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telaio di legno a forma di croce, che mantiene in piano e senza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distorsioni il quadro e permette una movimentazione dell’opera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in sicurezza, malgrado il peso e la trazione esercitata dalla composizione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Burri.</w:t>
      </w:r>
      <w:r>
        <w:rPr>
          <w:rFonts w:ascii="Arial" w:hAnsi="Arial" w:cs="Arial"/>
        </w:rPr>
        <w:t xml:space="preserve"> </w:t>
      </w:r>
    </w:p>
    <w:p w14:paraId="6EAB4812" w14:textId="14061D5E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Dall’osservazione del dipinto in sede di Unipol SAI nel 2019, si notava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nella metà inferiore della tela delle cadute di pellicola pittorica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in più punti e una rottura della cordicella centrale, dovuti a colpi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ricevuti e sfregamenti ripetuti sulla superficie.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Erano visibili anche dei vecchi restauri pittorici eseguiti maldestramente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con un pennarello per nascondere delle abrasioni della materia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pittorica. Su tutta l’opera era presente uno strato di polvere 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depositi ambientali che si erano annidati in tutti gli anfratti della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tela, conferendo alla superficie un aspetto biancastro.</w:t>
      </w:r>
      <w:r>
        <w:rPr>
          <w:rFonts w:ascii="Arial" w:hAnsi="Arial" w:cs="Arial"/>
        </w:rPr>
        <w:t xml:space="preserve">  </w:t>
      </w:r>
    </w:p>
    <w:p w14:paraId="5525FA2F" w14:textId="77777777" w:rsidR="0073406F" w:rsidRDefault="0073406F" w:rsidP="001C2B9D">
      <w:pPr>
        <w:spacing w:after="0" w:line="240" w:lineRule="auto"/>
        <w:jc w:val="both"/>
        <w:rPr>
          <w:rFonts w:ascii="Arial" w:hAnsi="Arial" w:cs="Arial"/>
        </w:rPr>
      </w:pPr>
    </w:p>
    <w:p w14:paraId="2B960ACC" w14:textId="77777777" w:rsidR="0073406F" w:rsidRPr="0073406F" w:rsidRDefault="00450D3F" w:rsidP="001C2B9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50D3F">
        <w:rPr>
          <w:rFonts w:ascii="Arial" w:hAnsi="Arial" w:cs="Arial"/>
          <w:i/>
          <w:iCs/>
        </w:rPr>
        <w:t>L’intervento</w:t>
      </w:r>
      <w:r w:rsidRPr="0073406F">
        <w:rPr>
          <w:rFonts w:ascii="Arial" w:hAnsi="Arial" w:cs="Arial"/>
          <w:i/>
          <w:iCs/>
        </w:rPr>
        <w:t xml:space="preserve"> </w:t>
      </w:r>
    </w:p>
    <w:p w14:paraId="5E7C46CB" w14:textId="77777777" w:rsidR="0073406F" w:rsidRPr="0073406F" w:rsidRDefault="00450D3F" w:rsidP="0073406F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450D3F">
        <w:rPr>
          <w:rFonts w:ascii="Arial" w:hAnsi="Arial" w:cs="Arial"/>
          <w:i/>
          <w:iCs/>
        </w:rPr>
        <w:t>Analisi dei materiali costitutivi e messa a punto</w:t>
      </w:r>
      <w:r w:rsidRPr="0073406F">
        <w:rPr>
          <w:rFonts w:ascii="Arial" w:hAnsi="Arial" w:cs="Arial"/>
          <w:i/>
          <w:iCs/>
        </w:rPr>
        <w:t xml:space="preserve"> </w:t>
      </w:r>
      <w:r w:rsidRPr="00450D3F">
        <w:rPr>
          <w:rFonts w:ascii="Arial" w:hAnsi="Arial" w:cs="Arial"/>
          <w:i/>
          <w:iCs/>
        </w:rPr>
        <w:t>della metodologia</w:t>
      </w:r>
      <w:r w:rsidRPr="0073406F">
        <w:rPr>
          <w:rFonts w:ascii="Arial" w:hAnsi="Arial" w:cs="Arial"/>
          <w:i/>
          <w:iCs/>
        </w:rPr>
        <w:t xml:space="preserve"> </w:t>
      </w:r>
    </w:p>
    <w:p w14:paraId="64A917F3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Prima di intervenire sul dipinto ci siamo avvalsi del supporto e della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collaborazione di specialisti del CNR di Firenze e dell’Università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Pisa, per individuare tutti i componenti di questo capolavoro,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analizzarne la composizione, valutare i processi di invecchiamento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dei singoli materiali costitutivi e distinguere ciò che appartiene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ad un naturale invecchiamento strutturale dell’opera e ciò che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è frutto di un trattamento inconsueto. Le informazioni acquisite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sono fondamentali per impostare una metodologia di lavoro corretta,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per portare alla luce problematiche che non sempre sono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visibili ad occhio nudo e confrontare i dati ottenuti con analisi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analoghe condotte su altre opere.</w:t>
      </w:r>
      <w:r>
        <w:rPr>
          <w:rFonts w:ascii="Arial" w:hAnsi="Arial" w:cs="Arial"/>
        </w:rPr>
        <w:t xml:space="preserve"> </w:t>
      </w:r>
    </w:p>
    <w:p w14:paraId="56A732B8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lastRenderedPageBreak/>
        <w:t>Due micro campioni sono stati prelevati, dal colore nero mat nella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zona centrale del dipinto e sulla cordicella.</w:t>
      </w:r>
      <w:r>
        <w:rPr>
          <w:rFonts w:ascii="Arial" w:hAnsi="Arial" w:cs="Arial"/>
        </w:rPr>
        <w:t xml:space="preserve"> </w:t>
      </w:r>
    </w:p>
    <w:p w14:paraId="44195AB0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Sono state realizzate delle sezioni stratigrafiche che hanno permesso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tramite la loro osservazione al microscopio ottico in luce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riflessa di evidenziare la presenza di un primo livello sottile di tinta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nera e un successivo strato pittorico sempre di colore nero e di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spessore maggiore.</w:t>
      </w:r>
      <w:r>
        <w:rPr>
          <w:rFonts w:ascii="Arial" w:hAnsi="Arial" w:cs="Arial"/>
        </w:rPr>
        <w:t xml:space="preserve"> </w:t>
      </w:r>
    </w:p>
    <w:p w14:paraId="220BAE04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Le osservazioni delle caratteristiche morfologiche hanno confermato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che entrambi i livelli sembrano costituiti dagli stessi materiali.</w:t>
      </w:r>
      <w:r>
        <w:rPr>
          <w:rFonts w:ascii="Arial" w:hAnsi="Arial" w:cs="Arial"/>
        </w:rPr>
        <w:t xml:space="preserve"> </w:t>
      </w:r>
    </w:p>
    <w:p w14:paraId="184D0F56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Le analisi di micro prelievi sottoposti ad analisi di tipo chimico molecolare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mediante spettroscopia infrarossa FT-IR hanno permesso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una caratterizzazione dei materiali costitutivi; il pigmento nero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dall’aspetto mat è composto di nero d’ossa, solfato di bario, tracce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calcite e di gesso. La presenza di solfato di bario può essere indice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dell’impiego di una pittura commerciale, perché veniva usato correntemente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come carica nelle formulazioni.</w:t>
      </w:r>
      <w:r>
        <w:rPr>
          <w:rFonts w:ascii="Arial" w:hAnsi="Arial" w:cs="Arial"/>
        </w:rPr>
        <w:t xml:space="preserve"> </w:t>
      </w:r>
    </w:p>
    <w:p w14:paraId="6DACB713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Per quanto riguarda l’individuazione del legante sia del pigmento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nero che della fibra, si sono sottoposti ad analisi di pirolisi-gas cromatografia-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spettrometria di massa (Py-GC-MS) campioni di materiali.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Lo studio è stato condotto dal dipartimento di Chimica di Pisa.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Le analisi hanno evidenziato nel campione di pigmento nero la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presenza dei marker caratteristici di una resina alchidica. Le analisi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hanno inoltre evidenziato la presenza di diversi diterpeni, con acido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abietico e 7-oxo-deidroabiatico come più abbondanti, insieme 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retene e norabietatrieni, tutti prodotti di pirolisi che possono essere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ricondotti alla presenza di una pece di pino (resina vegetale utilizzata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nella fabbricazione delle vernici). Infine, le analisi hanno evidenziato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la presenza del pentaclorofenolo, principio attivo di prodotti antitarme.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La presenza di tracce di prodotto antitarme va forse imputata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al primo uso di questo materiale nato per contenere e trasportare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generi alimentari.</w:t>
      </w:r>
      <w:r>
        <w:rPr>
          <w:rFonts w:ascii="Arial" w:hAnsi="Arial" w:cs="Arial"/>
        </w:rPr>
        <w:t xml:space="preserve"> </w:t>
      </w:r>
    </w:p>
    <w:p w14:paraId="73495B58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Sul campione di fibra invece è stata evidenziata la presenza in tracce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marker caratteristici della pece di pino insieme a quelli del polivinilacetato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(acido acetico, benzene, derivati aromatici e ftalati). La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pirolisi, analogamente a quanto visto per il campione di colore, ha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evidenziato la presenza di pentaclorofenolo.</w:t>
      </w:r>
      <w:r>
        <w:rPr>
          <w:rFonts w:ascii="Arial" w:hAnsi="Arial" w:cs="Arial"/>
        </w:rPr>
        <w:t xml:space="preserve"> </w:t>
      </w:r>
    </w:p>
    <w:p w14:paraId="54424765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Le analisi hanno inoltre rilevato tracce di colla vinilica, non come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componente del pigmento nero, ma nella fibra grezza della iuta. Si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può ipotizzare che Burri abbia impiegato il vinavil come collante per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dare forma alla iuta ed irrigidire la composizione dei vari frammenti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sacchi, lavorazione che si è rivelata nel tempo un acceleratore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del processo di deterioramento del tessuto. Osservando l’opera nel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suo insieme, sembra che Burri abbia lavorato diversamente il tessuto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nei due lati della composizione: a destra “l’ordine” con pezzatura di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stoffa regolari e compatte, a sinistra il “caos” con buchi, rammendi 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deformazioni del tessuto logoro.</w:t>
      </w:r>
      <w:r>
        <w:rPr>
          <w:rFonts w:ascii="Arial" w:hAnsi="Arial" w:cs="Arial"/>
        </w:rPr>
        <w:t xml:space="preserve"> </w:t>
      </w:r>
    </w:p>
    <w:p w14:paraId="2E53199C" w14:textId="77777777" w:rsidR="0073406F" w:rsidRDefault="00450D3F" w:rsidP="001C2B9D">
      <w:pPr>
        <w:spacing w:after="0" w:line="240" w:lineRule="auto"/>
        <w:jc w:val="both"/>
        <w:rPr>
          <w:rFonts w:ascii="Arial" w:hAnsi="Arial" w:cs="Arial"/>
        </w:rPr>
      </w:pPr>
      <w:r w:rsidRPr="00450D3F">
        <w:rPr>
          <w:rFonts w:ascii="Arial" w:hAnsi="Arial" w:cs="Arial"/>
        </w:rPr>
        <w:t>Sul lato destro della composizione infatti i pezzi lavorati sono grandi,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sembrano provenire dallo stesso sacco disteso, la tramatura del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tessuto è compatta, regolare, con pochi difetti. I buchi presenti, di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aspetto naturalmente tondeggiante, sono curati: i bordi delle mancanze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sono rigirati verso l’interno, formando un cordolo leggermente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 rilievo. Laddove Burri applica dei rammendi, la stoffa scelta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è di grammatura diversa dalla iuta di fondo, la forma è rettangolare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 i rammendi stessi sono attaccati ordinatamente con una cucitura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piatta quasi invisibile. La tinta nera che ricopre la superficie è stesa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uniformemente e ricopre tutte le asperità della trama del tessuto.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Sul lato sinistro dell’opera invece, la iuta impiegata è fortemente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degradata; i sacchi sono più di uno, con grammatura del filato diverso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e presentano molte lacerazioni strutturali provocate dall’usura,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con degli strappi che diventano buchi dai contorni sfrangiati e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delle deformazioni nella tramatura della fibra del tessuto. I rattoppi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sono irregolari, scelti con accurata casualità, e la cucitura grossolana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è palesemente in evidenza. Convivono isole materiche a rilievo,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 frammenti sovrapposti, confusi, laceri, incollati o cuciti, vicino a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zone dove la tela è scomparsa e forma dei crateri che conferiscono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alla composizione un aspetto lunare. La tinta nera è stesa in modo</w:t>
      </w:r>
      <w:r>
        <w:rPr>
          <w:rFonts w:ascii="Arial" w:hAnsi="Arial" w:cs="Arial"/>
        </w:rPr>
        <w:t xml:space="preserve"> </w:t>
      </w:r>
      <w:r w:rsidRPr="00450D3F">
        <w:rPr>
          <w:rFonts w:ascii="Arial" w:hAnsi="Arial" w:cs="Arial"/>
        </w:rPr>
        <w:t>disomogeneo e forma accumuli in più zone.</w:t>
      </w:r>
      <w:r>
        <w:rPr>
          <w:rFonts w:ascii="Arial" w:hAnsi="Arial" w:cs="Arial"/>
        </w:rPr>
        <w:t xml:space="preserve">  </w:t>
      </w:r>
    </w:p>
    <w:p w14:paraId="35D8BA70" w14:textId="77777777" w:rsidR="0073406F" w:rsidRDefault="0073406F" w:rsidP="001C2B9D">
      <w:pPr>
        <w:spacing w:after="0" w:line="240" w:lineRule="auto"/>
        <w:jc w:val="both"/>
        <w:rPr>
          <w:rFonts w:ascii="Arial" w:hAnsi="Arial" w:cs="Arial"/>
        </w:rPr>
      </w:pPr>
    </w:p>
    <w:p w14:paraId="67F74186" w14:textId="77777777" w:rsidR="0073406F" w:rsidRDefault="009A7B79" w:rsidP="007340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Bologna, 5 ottobre 2022</w:t>
      </w:r>
      <w:r w:rsidR="00450D3F">
        <w:rPr>
          <w:rFonts w:ascii="Arial" w:hAnsi="Arial" w:cs="Arial"/>
        </w:rPr>
        <w:t xml:space="preserve">  </w:t>
      </w:r>
    </w:p>
    <w:p w14:paraId="0A04FFE1" w14:textId="77777777" w:rsidR="0073406F" w:rsidRDefault="0073406F" w:rsidP="0073406F">
      <w:pPr>
        <w:spacing w:after="0" w:line="240" w:lineRule="auto"/>
        <w:jc w:val="both"/>
        <w:rPr>
          <w:rFonts w:ascii="Arial" w:hAnsi="Arial" w:cs="Arial"/>
        </w:rPr>
      </w:pPr>
    </w:p>
    <w:p w14:paraId="7C15AF55" w14:textId="3FCA1B22" w:rsidR="00391BD0" w:rsidRPr="009A7B79" w:rsidRDefault="009A7B79" w:rsidP="0073406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A7B79">
        <w:rPr>
          <w:rFonts w:ascii="Arial" w:hAnsi="Arial" w:cs="Arial"/>
          <w:b/>
          <w:bCs/>
        </w:rPr>
        <w:t xml:space="preserve">* Estratto dal testo in catalogo </w:t>
      </w:r>
      <w:r w:rsidR="00472384">
        <w:rPr>
          <w:rFonts w:ascii="Arial" w:hAnsi="Arial" w:cs="Arial"/>
          <w:b/>
          <w:bCs/>
        </w:rPr>
        <w:t>edito da CUBO</w:t>
      </w:r>
      <w:r w:rsidR="008D1C24" w:rsidRPr="009A7B79">
        <w:rPr>
          <w:rFonts w:ascii="Arial" w:hAnsi="Arial" w:cs="Arial"/>
          <w:b/>
          <w:bCs/>
        </w:rPr>
        <w:t>.</w:t>
      </w:r>
      <w:r w:rsidR="00450D3F">
        <w:rPr>
          <w:rFonts w:ascii="Arial" w:hAnsi="Arial" w:cs="Arial"/>
          <w:b/>
          <w:bCs/>
        </w:rPr>
        <w:t xml:space="preserve"> </w:t>
      </w:r>
    </w:p>
    <w:sectPr w:rsidR="00391BD0" w:rsidRPr="009A7B79" w:rsidSect="003812C3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6A06" w14:textId="77777777" w:rsidR="00D47210" w:rsidRDefault="00D47210" w:rsidP="00DE0BC1">
      <w:pPr>
        <w:spacing w:after="0" w:line="240" w:lineRule="auto"/>
      </w:pPr>
      <w:r>
        <w:separator/>
      </w:r>
    </w:p>
  </w:endnote>
  <w:endnote w:type="continuationSeparator" w:id="0">
    <w:p w14:paraId="4B2F5576" w14:textId="77777777" w:rsidR="00D47210" w:rsidRDefault="00D47210" w:rsidP="00DE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6BDF" w14:textId="08484C7A" w:rsidR="007F256A" w:rsidRDefault="00450D3F">
    <w:pPr>
      <w:pStyle w:val="Pidipagina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A8F6" w14:textId="2620812B" w:rsidR="00854ABF" w:rsidRDefault="003812C3">
    <w:pPr>
      <w:pStyle w:val="Pidipagina"/>
    </w:pPr>
    <w:r>
      <w:rPr>
        <w:lang w:eastAsia="it-IT"/>
      </w:rPr>
      <w:drawing>
        <wp:inline distT="0" distB="0" distL="0" distR="0" wp14:anchorId="3EB685FD" wp14:editId="474C5A37">
          <wp:extent cx="6120130" cy="1504315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D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7C05" w14:textId="77777777" w:rsidR="00D47210" w:rsidRDefault="00D47210" w:rsidP="00DE0BC1">
      <w:pPr>
        <w:spacing w:after="0" w:line="240" w:lineRule="auto"/>
      </w:pPr>
      <w:r>
        <w:separator/>
      </w:r>
    </w:p>
  </w:footnote>
  <w:footnote w:type="continuationSeparator" w:id="0">
    <w:p w14:paraId="58A7215D" w14:textId="77777777" w:rsidR="00D47210" w:rsidRDefault="00D47210" w:rsidP="00DE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7813" w14:textId="58AAA8F4" w:rsidR="00854ABF" w:rsidRDefault="007F256A">
    <w:pPr>
      <w:pStyle w:val="Intestazione"/>
    </w:pPr>
    <w:r>
      <w:rPr>
        <w:lang w:eastAsia="it-IT"/>
      </w:rPr>
      <w:drawing>
        <wp:anchor distT="0" distB="0" distL="114300" distR="114300" simplePos="0" relativeHeight="251657216" behindDoc="1" locked="0" layoutInCell="1" allowOverlap="1" wp14:anchorId="645F7EF1" wp14:editId="1EA63EE8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8405" cy="1115474"/>
          <wp:effectExtent l="0" t="0" r="0" b="0"/>
          <wp:wrapNone/>
          <wp:docPr id="10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1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D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6C2"/>
    <w:multiLevelType w:val="hybridMultilevel"/>
    <w:tmpl w:val="84E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171"/>
    <w:multiLevelType w:val="hybridMultilevel"/>
    <w:tmpl w:val="FBCEC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344B"/>
    <w:multiLevelType w:val="multilevel"/>
    <w:tmpl w:val="D5D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307848">
    <w:abstractNumId w:val="0"/>
  </w:num>
  <w:num w:numId="2" w16cid:durableId="280574022">
    <w:abstractNumId w:val="1"/>
  </w:num>
  <w:num w:numId="3" w16cid:durableId="200993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8D"/>
    <w:rsid w:val="000069DE"/>
    <w:rsid w:val="0001246B"/>
    <w:rsid w:val="000124B0"/>
    <w:rsid w:val="00016123"/>
    <w:rsid w:val="0002470D"/>
    <w:rsid w:val="0002670C"/>
    <w:rsid w:val="00031239"/>
    <w:rsid w:val="00074F92"/>
    <w:rsid w:val="000A21E0"/>
    <w:rsid w:val="000D039C"/>
    <w:rsid w:val="000D1A89"/>
    <w:rsid w:val="000D3C5E"/>
    <w:rsid w:val="000D4133"/>
    <w:rsid w:val="000D47A9"/>
    <w:rsid w:val="000E1348"/>
    <w:rsid w:val="000E3D5E"/>
    <w:rsid w:val="000F3F5E"/>
    <w:rsid w:val="000F663C"/>
    <w:rsid w:val="001035F9"/>
    <w:rsid w:val="001215A2"/>
    <w:rsid w:val="0013221B"/>
    <w:rsid w:val="00140161"/>
    <w:rsid w:val="00140F9D"/>
    <w:rsid w:val="00143BF0"/>
    <w:rsid w:val="001577F9"/>
    <w:rsid w:val="00163247"/>
    <w:rsid w:val="001713B0"/>
    <w:rsid w:val="001833B2"/>
    <w:rsid w:val="00192784"/>
    <w:rsid w:val="001B1D00"/>
    <w:rsid w:val="001B1E70"/>
    <w:rsid w:val="001C2B9D"/>
    <w:rsid w:val="001C350F"/>
    <w:rsid w:val="001D314B"/>
    <w:rsid w:val="001D66E4"/>
    <w:rsid w:val="001D6DA4"/>
    <w:rsid w:val="001D74B5"/>
    <w:rsid w:val="001E7131"/>
    <w:rsid w:val="001F41FD"/>
    <w:rsid w:val="001F465D"/>
    <w:rsid w:val="00200FB1"/>
    <w:rsid w:val="00202F20"/>
    <w:rsid w:val="00210901"/>
    <w:rsid w:val="0022097E"/>
    <w:rsid w:val="00220C82"/>
    <w:rsid w:val="00221E80"/>
    <w:rsid w:val="00224040"/>
    <w:rsid w:val="00250657"/>
    <w:rsid w:val="00271107"/>
    <w:rsid w:val="002749AE"/>
    <w:rsid w:val="00285D5C"/>
    <w:rsid w:val="00287812"/>
    <w:rsid w:val="00296B5D"/>
    <w:rsid w:val="002A3653"/>
    <w:rsid w:val="002A415B"/>
    <w:rsid w:val="002B5058"/>
    <w:rsid w:val="002C6BF8"/>
    <w:rsid w:val="002C7F51"/>
    <w:rsid w:val="002E2BDE"/>
    <w:rsid w:val="002E7AFE"/>
    <w:rsid w:val="002F6D73"/>
    <w:rsid w:val="0030478C"/>
    <w:rsid w:val="00311423"/>
    <w:rsid w:val="003170A9"/>
    <w:rsid w:val="00321757"/>
    <w:rsid w:val="003301A0"/>
    <w:rsid w:val="003348B6"/>
    <w:rsid w:val="0034407D"/>
    <w:rsid w:val="00344625"/>
    <w:rsid w:val="00347708"/>
    <w:rsid w:val="003518FD"/>
    <w:rsid w:val="0036327F"/>
    <w:rsid w:val="003652FD"/>
    <w:rsid w:val="00365EB4"/>
    <w:rsid w:val="003812C3"/>
    <w:rsid w:val="00391BD0"/>
    <w:rsid w:val="00392975"/>
    <w:rsid w:val="00393449"/>
    <w:rsid w:val="003946F3"/>
    <w:rsid w:val="003D5F98"/>
    <w:rsid w:val="003E1939"/>
    <w:rsid w:val="003E248F"/>
    <w:rsid w:val="003E4E6C"/>
    <w:rsid w:val="00404E2C"/>
    <w:rsid w:val="00414EA6"/>
    <w:rsid w:val="0043516C"/>
    <w:rsid w:val="004377AF"/>
    <w:rsid w:val="00447B2F"/>
    <w:rsid w:val="00450D3F"/>
    <w:rsid w:val="00460697"/>
    <w:rsid w:val="0046077A"/>
    <w:rsid w:val="00461F16"/>
    <w:rsid w:val="004622CE"/>
    <w:rsid w:val="00472384"/>
    <w:rsid w:val="004774BC"/>
    <w:rsid w:val="004774BD"/>
    <w:rsid w:val="004777F8"/>
    <w:rsid w:val="00477D5F"/>
    <w:rsid w:val="00485026"/>
    <w:rsid w:val="0049508F"/>
    <w:rsid w:val="004A4F64"/>
    <w:rsid w:val="004B3C97"/>
    <w:rsid w:val="004C5325"/>
    <w:rsid w:val="004D0299"/>
    <w:rsid w:val="004F2D38"/>
    <w:rsid w:val="00535BF4"/>
    <w:rsid w:val="005517BB"/>
    <w:rsid w:val="00576BF7"/>
    <w:rsid w:val="00587A75"/>
    <w:rsid w:val="00593CFA"/>
    <w:rsid w:val="005A5672"/>
    <w:rsid w:val="005A6FC8"/>
    <w:rsid w:val="005B5E9B"/>
    <w:rsid w:val="005C2539"/>
    <w:rsid w:val="005C2E00"/>
    <w:rsid w:val="005C4DEA"/>
    <w:rsid w:val="005D2803"/>
    <w:rsid w:val="005D6794"/>
    <w:rsid w:val="005E5B4D"/>
    <w:rsid w:val="005F2264"/>
    <w:rsid w:val="005F3E9C"/>
    <w:rsid w:val="006024A9"/>
    <w:rsid w:val="006204AC"/>
    <w:rsid w:val="00621445"/>
    <w:rsid w:val="00640130"/>
    <w:rsid w:val="00647F0D"/>
    <w:rsid w:val="006525E2"/>
    <w:rsid w:val="00653EB7"/>
    <w:rsid w:val="00661FA4"/>
    <w:rsid w:val="006637DE"/>
    <w:rsid w:val="0067137F"/>
    <w:rsid w:val="006870DE"/>
    <w:rsid w:val="00687CE3"/>
    <w:rsid w:val="006902D9"/>
    <w:rsid w:val="00696ECD"/>
    <w:rsid w:val="006A748A"/>
    <w:rsid w:val="006C7DB0"/>
    <w:rsid w:val="006D21A2"/>
    <w:rsid w:val="006E2D5E"/>
    <w:rsid w:val="006F6D5B"/>
    <w:rsid w:val="00701DA0"/>
    <w:rsid w:val="00702443"/>
    <w:rsid w:val="00713979"/>
    <w:rsid w:val="0071603B"/>
    <w:rsid w:val="007169A8"/>
    <w:rsid w:val="00722BDB"/>
    <w:rsid w:val="007234CE"/>
    <w:rsid w:val="007252D9"/>
    <w:rsid w:val="007276FC"/>
    <w:rsid w:val="00733C42"/>
    <w:rsid w:val="0073406F"/>
    <w:rsid w:val="007362C0"/>
    <w:rsid w:val="0074246D"/>
    <w:rsid w:val="007449ED"/>
    <w:rsid w:val="00752D9B"/>
    <w:rsid w:val="00755D6A"/>
    <w:rsid w:val="00757D5E"/>
    <w:rsid w:val="00781AA5"/>
    <w:rsid w:val="00784F3B"/>
    <w:rsid w:val="007A512C"/>
    <w:rsid w:val="007A5B31"/>
    <w:rsid w:val="007C65D2"/>
    <w:rsid w:val="007D5756"/>
    <w:rsid w:val="007D7B66"/>
    <w:rsid w:val="007F01D8"/>
    <w:rsid w:val="007F256A"/>
    <w:rsid w:val="007F3965"/>
    <w:rsid w:val="00806C12"/>
    <w:rsid w:val="008526CC"/>
    <w:rsid w:val="00854ABF"/>
    <w:rsid w:val="00873770"/>
    <w:rsid w:val="008C37FA"/>
    <w:rsid w:val="008C5D2A"/>
    <w:rsid w:val="008D1C24"/>
    <w:rsid w:val="008D5BFB"/>
    <w:rsid w:val="008D6658"/>
    <w:rsid w:val="008E63DA"/>
    <w:rsid w:val="008F07FC"/>
    <w:rsid w:val="0092763F"/>
    <w:rsid w:val="0093104E"/>
    <w:rsid w:val="00932965"/>
    <w:rsid w:val="00935E94"/>
    <w:rsid w:val="0094635A"/>
    <w:rsid w:val="009472AB"/>
    <w:rsid w:val="00960DDB"/>
    <w:rsid w:val="00960EC3"/>
    <w:rsid w:val="00976664"/>
    <w:rsid w:val="0098338D"/>
    <w:rsid w:val="00997310"/>
    <w:rsid w:val="009A5C97"/>
    <w:rsid w:val="009A7B79"/>
    <w:rsid w:val="009B2823"/>
    <w:rsid w:val="009C0925"/>
    <w:rsid w:val="009D0C07"/>
    <w:rsid w:val="009D15A1"/>
    <w:rsid w:val="009E074D"/>
    <w:rsid w:val="009F7DD7"/>
    <w:rsid w:val="00A05DD0"/>
    <w:rsid w:val="00A14CE0"/>
    <w:rsid w:val="00A2440F"/>
    <w:rsid w:val="00A37F83"/>
    <w:rsid w:val="00A50026"/>
    <w:rsid w:val="00A54B26"/>
    <w:rsid w:val="00A6136A"/>
    <w:rsid w:val="00A81F75"/>
    <w:rsid w:val="00A932C7"/>
    <w:rsid w:val="00A934A2"/>
    <w:rsid w:val="00AA2056"/>
    <w:rsid w:val="00AB3946"/>
    <w:rsid w:val="00AB7E66"/>
    <w:rsid w:val="00AC2638"/>
    <w:rsid w:val="00AD3D0E"/>
    <w:rsid w:val="00AE6D79"/>
    <w:rsid w:val="00AF3581"/>
    <w:rsid w:val="00AF7E90"/>
    <w:rsid w:val="00B0165B"/>
    <w:rsid w:val="00B34540"/>
    <w:rsid w:val="00B44466"/>
    <w:rsid w:val="00B7278B"/>
    <w:rsid w:val="00B9013A"/>
    <w:rsid w:val="00BB2334"/>
    <w:rsid w:val="00BC3CE6"/>
    <w:rsid w:val="00BD5098"/>
    <w:rsid w:val="00BE1590"/>
    <w:rsid w:val="00BF78E5"/>
    <w:rsid w:val="00C0121F"/>
    <w:rsid w:val="00C0511E"/>
    <w:rsid w:val="00C1171E"/>
    <w:rsid w:val="00C26B84"/>
    <w:rsid w:val="00C32C0E"/>
    <w:rsid w:val="00C33AEA"/>
    <w:rsid w:val="00C80FC6"/>
    <w:rsid w:val="00C8779E"/>
    <w:rsid w:val="00C87C6D"/>
    <w:rsid w:val="00C9327C"/>
    <w:rsid w:val="00CA2E99"/>
    <w:rsid w:val="00CA6771"/>
    <w:rsid w:val="00CC6DDA"/>
    <w:rsid w:val="00CE3000"/>
    <w:rsid w:val="00CE5C7C"/>
    <w:rsid w:val="00CE7DE8"/>
    <w:rsid w:val="00CF4DA8"/>
    <w:rsid w:val="00D2194E"/>
    <w:rsid w:val="00D266F1"/>
    <w:rsid w:val="00D3456F"/>
    <w:rsid w:val="00D37C1E"/>
    <w:rsid w:val="00D47210"/>
    <w:rsid w:val="00D676BA"/>
    <w:rsid w:val="00D74A71"/>
    <w:rsid w:val="00D907A4"/>
    <w:rsid w:val="00D91746"/>
    <w:rsid w:val="00D95C22"/>
    <w:rsid w:val="00DB24B0"/>
    <w:rsid w:val="00DC12B4"/>
    <w:rsid w:val="00DC20BC"/>
    <w:rsid w:val="00DC3C9A"/>
    <w:rsid w:val="00DC4A2D"/>
    <w:rsid w:val="00DC69F6"/>
    <w:rsid w:val="00DE0BC1"/>
    <w:rsid w:val="00DF4F12"/>
    <w:rsid w:val="00E00F54"/>
    <w:rsid w:val="00E26640"/>
    <w:rsid w:val="00E41127"/>
    <w:rsid w:val="00E60344"/>
    <w:rsid w:val="00E66A0B"/>
    <w:rsid w:val="00E673F9"/>
    <w:rsid w:val="00E75022"/>
    <w:rsid w:val="00EA291E"/>
    <w:rsid w:val="00EB2A08"/>
    <w:rsid w:val="00EB3592"/>
    <w:rsid w:val="00EC60C5"/>
    <w:rsid w:val="00EE090C"/>
    <w:rsid w:val="00EE4E95"/>
    <w:rsid w:val="00EE75AE"/>
    <w:rsid w:val="00EF3875"/>
    <w:rsid w:val="00EF6946"/>
    <w:rsid w:val="00F0438D"/>
    <w:rsid w:val="00F066BB"/>
    <w:rsid w:val="00F07A47"/>
    <w:rsid w:val="00F142B1"/>
    <w:rsid w:val="00F148A1"/>
    <w:rsid w:val="00F364DF"/>
    <w:rsid w:val="00F5175C"/>
    <w:rsid w:val="00F52E27"/>
    <w:rsid w:val="00F625E1"/>
    <w:rsid w:val="00F8038B"/>
    <w:rsid w:val="00F8118E"/>
    <w:rsid w:val="00F87ACE"/>
    <w:rsid w:val="00FB645D"/>
    <w:rsid w:val="00FC0B0C"/>
    <w:rsid w:val="00FC44B8"/>
    <w:rsid w:val="00FD0B15"/>
    <w:rsid w:val="00FD4BF4"/>
    <w:rsid w:val="00FE3CAF"/>
    <w:rsid w:val="00FE50FE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CD906"/>
  <w15:docId w15:val="{061653BE-6FD0-4223-986C-2466B7EA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264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0B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0BC1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0BC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71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B0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438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901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7A9"/>
    <w:rPr>
      <w:rFonts w:ascii="Lucida Grande" w:hAnsi="Lucida Grande" w:cs="Lucida Grande"/>
      <w:noProof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E300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00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0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51cac17-9d3b-42cf-aa66-1c7ce94de299" xsi:nil="true"/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2C77F-AB12-4CD6-A496-34AA09211BD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6ae1104-2084-46c2-94e8-fb18143a54c8"/>
    <ds:schemaRef ds:uri="http://purl.org/dc/elements/1.1/"/>
    <ds:schemaRef ds:uri="e51cac17-9d3b-42cf-aa66-1c7ce94de29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76AA9-A77E-498F-BEDE-11F906357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6BEB5-9570-46A7-9F56-FA321D72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09E99-25BE-4631-BB22-227DD3BEF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Clerici</dc:creator>
  <cp:keywords/>
  <dc:description/>
  <cp:lastModifiedBy>Clara Cervia</cp:lastModifiedBy>
  <cp:revision>3</cp:revision>
  <cp:lastPrinted>2022-08-08T07:52:00Z</cp:lastPrinted>
  <dcterms:created xsi:type="dcterms:W3CDTF">2022-09-29T09:26:00Z</dcterms:created>
  <dcterms:modified xsi:type="dcterms:W3CDTF">2022-09-30T15:25:00Z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