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44BA" w14:textId="77777777" w:rsidR="005B0DC7" w:rsidRDefault="005B0DC7" w:rsidP="000F30C0">
      <w:pPr>
        <w:rPr>
          <w:b/>
          <w:bCs/>
          <w:sz w:val="24"/>
          <w:szCs w:val="24"/>
        </w:rPr>
      </w:pPr>
    </w:p>
    <w:p w14:paraId="6459E5B1" w14:textId="30283C3A" w:rsidR="00B11E98" w:rsidRPr="00B11E98" w:rsidRDefault="00B11E98" w:rsidP="00B11E98">
      <w:pPr>
        <w:jc w:val="both"/>
        <w:rPr>
          <w:b/>
          <w:bCs/>
          <w:sz w:val="24"/>
          <w:szCs w:val="24"/>
        </w:rPr>
      </w:pPr>
      <w:r w:rsidRPr="00B11E98">
        <w:rPr>
          <w:b/>
          <w:bCs/>
          <w:sz w:val="24"/>
          <w:szCs w:val="24"/>
        </w:rPr>
        <w:t>CRISTINA COLAIACOVO</w:t>
      </w:r>
    </w:p>
    <w:p w14:paraId="5579BCE6" w14:textId="67CDAF09" w:rsidR="005B0DC7" w:rsidRDefault="00B11E98" w:rsidP="00B11E98">
      <w:pPr>
        <w:spacing w:after="120"/>
        <w:jc w:val="both"/>
        <w:rPr>
          <w:sz w:val="24"/>
          <w:szCs w:val="24"/>
        </w:rPr>
      </w:pPr>
      <w:r w:rsidRPr="00B11E98">
        <w:rPr>
          <w:b/>
          <w:bCs/>
          <w:i/>
          <w:iCs/>
          <w:sz w:val="24"/>
          <w:szCs w:val="24"/>
        </w:rPr>
        <w:t>Presidente Fondazione Perugia</w:t>
      </w:r>
    </w:p>
    <w:p w14:paraId="589681D3" w14:textId="77777777" w:rsidR="005B0DC7" w:rsidRDefault="005B0DC7" w:rsidP="000F30C0">
      <w:pPr>
        <w:spacing w:after="120"/>
        <w:jc w:val="both"/>
        <w:rPr>
          <w:sz w:val="24"/>
          <w:szCs w:val="24"/>
        </w:rPr>
      </w:pPr>
    </w:p>
    <w:p w14:paraId="0923027D" w14:textId="66712CFB" w:rsidR="00B11E98" w:rsidRPr="00B11E98" w:rsidRDefault="00B11E98" w:rsidP="00B11E98">
      <w:pPr>
        <w:spacing w:after="120"/>
        <w:jc w:val="both"/>
        <w:rPr>
          <w:sz w:val="24"/>
          <w:szCs w:val="24"/>
        </w:rPr>
      </w:pPr>
      <w:r w:rsidRPr="00B11E98">
        <w:rPr>
          <w:sz w:val="24"/>
          <w:szCs w:val="24"/>
        </w:rPr>
        <w:t>Pietro Perugino continua a illuminare la sua terra, rivivendo nella profondità delle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opere un viaggio unico e sorprendente, che riannoda i fili di un percorso iniziato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oltre cinquecento anni fa. Già nel 2004 Fondazione Perugia aveva sostenuto una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mostra dedicata al Divin pittore per celebrarne l’eccezionale talento: un impegno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confermato nel V Centenario della sua morte, con l’obiettivo di dare ancora più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slancio e vigore a uno dei protagonisti assoluti del Rinascimento. A distanza di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quasi vent’anni e in occasione di questo importante anniversario, la strada che si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percorre porta ancora una volta nella direzione della bellezza: quella maestosa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e irripetibile, che intende collocare il Perugino nella giusta dimensione del suo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tempo. Quel tempo che aveva assegnato al Vannucci il ruolo del “migliore”, ruolo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 xml:space="preserve">che, con capacità e passione, i curatori Marco Pierini e </w:t>
      </w:r>
      <w:proofErr w:type="spellStart"/>
      <w:r w:rsidRPr="00B11E98">
        <w:rPr>
          <w:sz w:val="24"/>
          <w:szCs w:val="24"/>
        </w:rPr>
        <w:t>Veruska</w:t>
      </w:r>
      <w:proofErr w:type="spellEnd"/>
      <w:r w:rsidRPr="00B11E98">
        <w:rPr>
          <w:sz w:val="24"/>
          <w:szCs w:val="24"/>
        </w:rPr>
        <w:t xml:space="preserve"> Picchiarelli intendono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 xml:space="preserve">attribuirgli sin dall’evocativo titolo che è anche una tesi: </w:t>
      </w:r>
      <w:r w:rsidRPr="00B11E98">
        <w:rPr>
          <w:i/>
          <w:iCs/>
          <w:sz w:val="24"/>
          <w:szCs w:val="24"/>
        </w:rPr>
        <w:t>Il meglio maestro</w:t>
      </w:r>
      <w:r>
        <w:rPr>
          <w:i/>
          <w:iCs/>
          <w:sz w:val="24"/>
          <w:szCs w:val="24"/>
        </w:rPr>
        <w:t xml:space="preserve"> </w:t>
      </w:r>
      <w:r w:rsidRPr="00B11E98">
        <w:rPr>
          <w:i/>
          <w:iCs/>
          <w:sz w:val="24"/>
          <w:szCs w:val="24"/>
        </w:rPr>
        <w:t>d’Italia. Perugino nel suo tempo</w:t>
      </w:r>
      <w:r w:rsidRPr="00B11E98">
        <w:rPr>
          <w:sz w:val="24"/>
          <w:szCs w:val="24"/>
        </w:rPr>
        <w:t>.</w:t>
      </w:r>
    </w:p>
    <w:p w14:paraId="42990BBB" w14:textId="4F03AF62" w:rsidR="00B11E98" w:rsidRPr="00B11E98" w:rsidRDefault="00B11E98" w:rsidP="00B11E98">
      <w:pPr>
        <w:spacing w:after="120"/>
        <w:jc w:val="both"/>
        <w:rPr>
          <w:sz w:val="24"/>
          <w:szCs w:val="24"/>
        </w:rPr>
      </w:pPr>
      <w:r w:rsidRPr="00B11E98">
        <w:rPr>
          <w:sz w:val="24"/>
          <w:szCs w:val="24"/>
        </w:rPr>
        <w:t>Interprete attento della sua epoca, artista apprezzato e conteso in tutta Italia,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Pietro Perugino lega indissolubilmente il proprio nome al territorio cui appartiene.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Una identificazione tanto forte quanto rara, che rende ancor più speciale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la connessione tra il maestro e la sua terra di origine, rimasta un punto fermo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nella geografia artistica del suo straordinario lavoro che ha contribuito a rendere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quello che dalla Toscana arrivava nelle Marche passando per l’Umbria proprio “in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quel tempo” un percorso magico.</w:t>
      </w:r>
    </w:p>
    <w:p w14:paraId="32A0D3FE" w14:textId="455F3442" w:rsidR="00B11E98" w:rsidRPr="00B11E98" w:rsidRDefault="00B11E98" w:rsidP="00B11E98">
      <w:pPr>
        <w:spacing w:after="120"/>
        <w:jc w:val="both"/>
        <w:rPr>
          <w:sz w:val="24"/>
          <w:szCs w:val="24"/>
        </w:rPr>
      </w:pPr>
      <w:r w:rsidRPr="00B11E98">
        <w:rPr>
          <w:sz w:val="24"/>
          <w:szCs w:val="24"/>
        </w:rPr>
        <w:t>La mostra della Galleria Nazionale dell’Umbria si delinea come un grande evento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non solo per il valore e l’importanza delle opere esposte, ma anche per la accurata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attività di restauro e di studio condotta in questi anni nonostante le pause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forzate dettate dalla pandemia.</w:t>
      </w:r>
    </w:p>
    <w:p w14:paraId="380853E8" w14:textId="3411BF0F" w:rsidR="00B11E98" w:rsidRPr="00B11E98" w:rsidRDefault="00B11E98" w:rsidP="00B11E98">
      <w:pPr>
        <w:spacing w:after="120"/>
        <w:jc w:val="both"/>
        <w:rPr>
          <w:sz w:val="24"/>
          <w:szCs w:val="24"/>
        </w:rPr>
      </w:pPr>
      <w:r w:rsidRPr="00B11E98">
        <w:rPr>
          <w:sz w:val="24"/>
          <w:szCs w:val="24"/>
        </w:rPr>
        <w:t>Le celebrazioni del cinquecentenario, sapientemente coordinate dal Comitato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Perugino 2023 e dalla sua Presidente Ilaria Borletti Buitoni, arrivano infatti un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anno dopo l’inaugurazione del nuovo ordine museale della Galleria Nazionale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dell’Umbria che ha valorizzato ulteriormente una delle più ricche raccolte d’arte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italiane. Frutto della capacità e passione del direttore Marco Pierini e del suo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staff, il nuovo allestimento si snoda in un itinerario composito tra sperimentazioni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tecniche di sorprendente modernità e affreschi, tavole dorate, tele, sculture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lignee, oggetti devozionali, pale d’altare riflettendo sul piano artistico il ruolo particolare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e per certi versi unico che l’Umbria ha avuto nella storia religiosa dell’Italia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e dell’Europa, con le sue figure divenute in alcuni casi universali di santi,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monaci e mistiche.</w:t>
      </w:r>
    </w:p>
    <w:p w14:paraId="50E3D233" w14:textId="1D0EBEB9" w:rsidR="00B11E98" w:rsidRPr="00B11E98" w:rsidRDefault="00B11E98" w:rsidP="00B11E98">
      <w:pPr>
        <w:spacing w:after="120"/>
        <w:jc w:val="both"/>
        <w:rPr>
          <w:sz w:val="24"/>
          <w:szCs w:val="24"/>
        </w:rPr>
      </w:pPr>
      <w:r w:rsidRPr="00B11E98">
        <w:rPr>
          <w:sz w:val="24"/>
          <w:szCs w:val="24"/>
        </w:rPr>
        <w:t>È su questo tesoro che occorre far leva per irrobustire il senso di appartenenza al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nostro territorio, promuovendone la conoscenza e rendendolo maggiormente attrattivo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attraverso la qualità dell’offerta culturale. La mostra costituisce un appuntamento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irrinunciabile per coinvolgere la comunità e le realtà locali, rappresentando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al tempo stesso un’occasione straordinaria di sviluppo e promozione turistica.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L’identità come volano di crescita è un punto essenziale dell’attività di Fondazione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Perugia, che nei suoi trent’anni di storia ha fatto della custodia e del sostegno ai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beni e alle attività culturali un caposaldo.</w:t>
      </w:r>
    </w:p>
    <w:p w14:paraId="255471D9" w14:textId="00D64608" w:rsidR="00331BB1" w:rsidRDefault="00B11E98" w:rsidP="00B11E98">
      <w:pPr>
        <w:spacing w:after="120"/>
        <w:jc w:val="both"/>
        <w:rPr>
          <w:sz w:val="24"/>
          <w:szCs w:val="24"/>
        </w:rPr>
      </w:pPr>
      <w:r w:rsidRPr="00B11E98">
        <w:rPr>
          <w:sz w:val="24"/>
          <w:szCs w:val="24"/>
        </w:rPr>
        <w:t>Un impegno che vedrà il Divin pittore protagonista di un’ulteriore mostra al Museo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di Palazzo Baldeschi, il cui fulcro sarà rappresentato dalla raffinata tavoletta</w:t>
      </w:r>
      <w:r>
        <w:rPr>
          <w:sz w:val="24"/>
          <w:szCs w:val="24"/>
        </w:rPr>
        <w:t xml:space="preserve"> </w:t>
      </w:r>
      <w:r w:rsidRPr="00B11E98">
        <w:rPr>
          <w:i/>
          <w:iCs/>
          <w:sz w:val="24"/>
          <w:szCs w:val="24"/>
        </w:rPr>
        <w:t>Madonna con il Bambino e due cherubini</w:t>
      </w:r>
      <w:r w:rsidRPr="00B11E98">
        <w:rPr>
          <w:sz w:val="24"/>
          <w:szCs w:val="24"/>
        </w:rPr>
        <w:t>, capolavoro della ricca collezione d’arte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di Fondazione Perugia insieme ad altre iniziative che avranno l’obiettivo di avvicinare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giovani e studenti al “meglio maestro d’Italia”, coinvolgendoli e offrendo</w:t>
      </w:r>
      <w:r>
        <w:rPr>
          <w:sz w:val="24"/>
          <w:szCs w:val="24"/>
        </w:rPr>
        <w:t xml:space="preserve"> </w:t>
      </w:r>
      <w:r w:rsidRPr="00B11E98">
        <w:rPr>
          <w:sz w:val="24"/>
          <w:szCs w:val="24"/>
        </w:rPr>
        <w:t>loro la possibilità di uno sguardo inedito su un passato che fa da ponte al futuro.</w:t>
      </w:r>
    </w:p>
    <w:p w14:paraId="50D488DE" w14:textId="77777777" w:rsidR="002458CF" w:rsidRDefault="002458CF" w:rsidP="002458CF">
      <w:pPr>
        <w:spacing w:after="120"/>
        <w:jc w:val="both"/>
        <w:rPr>
          <w:sz w:val="24"/>
          <w:szCs w:val="24"/>
        </w:rPr>
      </w:pPr>
    </w:p>
    <w:p w14:paraId="0239701D" w14:textId="056EB390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Perugia, 3 marzo 2023</w:t>
      </w:r>
    </w:p>
    <w:sectPr w:rsidR="000F30C0" w:rsidRPr="000F30C0" w:rsidSect="007903E9">
      <w:headerReference w:type="default" r:id="rId9"/>
      <w:footerReference w:type="default" r:id="rId10"/>
      <w:pgSz w:w="11910" w:h="16840"/>
      <w:pgMar w:top="2269" w:right="1021" w:bottom="1701" w:left="879" w:header="471" w:footer="11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29BF" w14:textId="77777777" w:rsidR="00D03D5B" w:rsidRDefault="00D03D5B">
      <w:r>
        <w:separator/>
      </w:r>
    </w:p>
  </w:endnote>
  <w:endnote w:type="continuationSeparator" w:id="0">
    <w:p w14:paraId="4F3CDD9F" w14:textId="77777777" w:rsidR="00D03D5B" w:rsidRDefault="00D0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B928" w14:textId="77777777" w:rsidR="00073E50" w:rsidRDefault="00073E50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576320" behindDoc="1" locked="0" layoutInCell="1" allowOverlap="1" wp14:anchorId="42A9D7DC" wp14:editId="08CAF6E1">
          <wp:simplePos x="0" y="0"/>
          <wp:positionH relativeFrom="page">
            <wp:posOffset>1614965</wp:posOffset>
          </wp:positionH>
          <wp:positionV relativeFrom="page">
            <wp:posOffset>9833359</wp:posOffset>
          </wp:positionV>
          <wp:extent cx="3732006" cy="338897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2006" cy="3388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FAC6" w14:textId="77777777" w:rsidR="00D03D5B" w:rsidRDefault="00D03D5B">
      <w:r>
        <w:separator/>
      </w:r>
    </w:p>
  </w:footnote>
  <w:footnote w:type="continuationSeparator" w:id="0">
    <w:p w14:paraId="511CE5B6" w14:textId="77777777" w:rsidR="00D03D5B" w:rsidRDefault="00D03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5"/>
      <w:gridCol w:w="5025"/>
    </w:tblGrid>
    <w:tr w:rsidR="000033B0" w14:paraId="2CFBF8E8" w14:textId="77777777" w:rsidTr="00927216">
      <w:tc>
        <w:tcPr>
          <w:tcW w:w="5075" w:type="dxa"/>
          <w:vAlign w:val="center"/>
        </w:tcPr>
        <w:p w14:paraId="58509F3C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5988A8A2" wp14:editId="6ABA2C36">
                <wp:extent cx="476250" cy="837553"/>
                <wp:effectExtent l="0" t="0" r="0" b="1270"/>
                <wp:docPr id="13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52" cy="8542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5" w:type="dxa"/>
          <w:vAlign w:val="center"/>
        </w:tcPr>
        <w:p w14:paraId="27F995FE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033EF9E6" wp14:editId="22059DB6">
                <wp:extent cx="1624012" cy="684536"/>
                <wp:effectExtent l="0" t="0" r="0" b="1270"/>
                <wp:docPr id="14" name="Immagine 14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&#10;&#10;Descrizione generata automaticamente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0056" cy="691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D832AEA" w14:textId="7547A34C" w:rsidR="00073E50" w:rsidRDefault="00073E50">
    <w:pPr>
      <w:pStyle w:val="Corpotes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23"/>
    <w:rsid w:val="000033B0"/>
    <w:rsid w:val="00004AC0"/>
    <w:rsid w:val="0006253E"/>
    <w:rsid w:val="00073E50"/>
    <w:rsid w:val="00090769"/>
    <w:rsid w:val="000E1D4A"/>
    <w:rsid w:val="000F30C0"/>
    <w:rsid w:val="001356F6"/>
    <w:rsid w:val="00156F26"/>
    <w:rsid w:val="001D18CA"/>
    <w:rsid w:val="002458CF"/>
    <w:rsid w:val="00331BB1"/>
    <w:rsid w:val="003F24B7"/>
    <w:rsid w:val="004216C7"/>
    <w:rsid w:val="004278EB"/>
    <w:rsid w:val="0045063A"/>
    <w:rsid w:val="00466054"/>
    <w:rsid w:val="00473C6A"/>
    <w:rsid w:val="004750F8"/>
    <w:rsid w:val="004A0F72"/>
    <w:rsid w:val="004B7623"/>
    <w:rsid w:val="004D3265"/>
    <w:rsid w:val="005344AA"/>
    <w:rsid w:val="005506AF"/>
    <w:rsid w:val="00554FD4"/>
    <w:rsid w:val="00556C70"/>
    <w:rsid w:val="005B0DC7"/>
    <w:rsid w:val="006D2369"/>
    <w:rsid w:val="006D57B0"/>
    <w:rsid w:val="00724482"/>
    <w:rsid w:val="00732498"/>
    <w:rsid w:val="00735899"/>
    <w:rsid w:val="00750E83"/>
    <w:rsid w:val="007903E9"/>
    <w:rsid w:val="00791990"/>
    <w:rsid w:val="008400DF"/>
    <w:rsid w:val="00860C57"/>
    <w:rsid w:val="008A2161"/>
    <w:rsid w:val="008B4AF4"/>
    <w:rsid w:val="008F3542"/>
    <w:rsid w:val="008F51AB"/>
    <w:rsid w:val="008F76BA"/>
    <w:rsid w:val="00915280"/>
    <w:rsid w:val="00922616"/>
    <w:rsid w:val="00980DBB"/>
    <w:rsid w:val="00A03CC8"/>
    <w:rsid w:val="00A96C76"/>
    <w:rsid w:val="00AA4268"/>
    <w:rsid w:val="00AC181C"/>
    <w:rsid w:val="00B11E98"/>
    <w:rsid w:val="00B454C1"/>
    <w:rsid w:val="00B87EFB"/>
    <w:rsid w:val="00B97012"/>
    <w:rsid w:val="00C7155B"/>
    <w:rsid w:val="00C77E88"/>
    <w:rsid w:val="00C83787"/>
    <w:rsid w:val="00CB5BEC"/>
    <w:rsid w:val="00CB7101"/>
    <w:rsid w:val="00CF44D1"/>
    <w:rsid w:val="00D03D5B"/>
    <w:rsid w:val="00D14631"/>
    <w:rsid w:val="00D66021"/>
    <w:rsid w:val="00D7480B"/>
    <w:rsid w:val="00D951DD"/>
    <w:rsid w:val="00DD2465"/>
    <w:rsid w:val="00DF17B7"/>
    <w:rsid w:val="00DF2A69"/>
    <w:rsid w:val="00E66C4C"/>
    <w:rsid w:val="00E7530B"/>
    <w:rsid w:val="00EA6D05"/>
    <w:rsid w:val="00EA6DA4"/>
    <w:rsid w:val="00EE7879"/>
    <w:rsid w:val="00F05F0A"/>
    <w:rsid w:val="00F223F1"/>
    <w:rsid w:val="00F66D8C"/>
    <w:rsid w:val="00F7035B"/>
    <w:rsid w:val="00F7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34038"/>
  <w15:docId w15:val="{6FECDD17-9476-447A-B2C5-73FFA033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690" w:right="268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F05F0A"/>
    <w:rPr>
      <w:rFonts w:ascii="Garamond" w:eastAsia="Garamond" w:hAnsi="Garamond" w:cs="Garamond"/>
      <w:sz w:val="24"/>
      <w:szCs w:val="24"/>
      <w:lang w:val="it-IT" w:eastAsia="it-IT" w:bidi="it-IT"/>
    </w:rPr>
  </w:style>
  <w:style w:type="character" w:styleId="Collegamentoipertestuale">
    <w:name w:val="Hyperlink"/>
    <w:rsid w:val="00D7480B"/>
    <w:rPr>
      <w:u w:val="single"/>
    </w:rPr>
  </w:style>
  <w:style w:type="character" w:customStyle="1" w:styleId="Hyperlink0">
    <w:name w:val="Hyperlink.0"/>
    <w:basedOn w:val="Carpredefinitoparagrafo"/>
    <w:rsid w:val="00D7480B"/>
    <w:rPr>
      <w:rFonts w:ascii="Garamond" w:eastAsia="Garamond" w:hAnsi="Garamond" w:cs="Garamond"/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D6602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customStyle="1" w:styleId="Nessuno">
    <w:name w:val="Nessuno"/>
    <w:rsid w:val="00D66021"/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table" w:styleId="Grigliatabella">
    <w:name w:val="Table Grid"/>
    <w:basedOn w:val="Tabellanormale"/>
    <w:uiPriority w:val="59"/>
    <w:rsid w:val="00003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3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752FE3-C153-42FB-A7AE-1804D8B07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FB531-6BEE-4831-9963-2FCE7F793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C8502C-9D92-4CC8-9678-350F9CC7FC5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Sagini</dc:creator>
  <cp:lastModifiedBy>Carlo Ghielmetti</cp:lastModifiedBy>
  <cp:revision>2</cp:revision>
  <cp:lastPrinted>2022-11-04T15:18:00Z</cp:lastPrinted>
  <dcterms:created xsi:type="dcterms:W3CDTF">2023-03-01T10:11:00Z</dcterms:created>
  <dcterms:modified xsi:type="dcterms:W3CDTF">2023-03-01T10:11:00Z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2022-06-09T00:00:00Z</vt:filetime>
  </property>
  <property fmtid="{D5CDD505-2E9C-101B-9397-08002B2CF9AE}" pid="5" name="ContentTypeId">
    <vt:lpwstr>0x010100CEE2951FC9A8954D98E2686339B094D3</vt:lpwstr>
  </property>
  <property fmtid="{D5CDD505-2E9C-101B-9397-08002B2CF9AE}" pid="6" name="MediaServiceImageTags">
    <vt:lpwstr/>
  </property>
</Properties>
</file>