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58F22" w14:textId="6D09BC34" w:rsidR="00891AD9" w:rsidRDefault="00891AD9" w:rsidP="00EF0E8D">
      <w:pPr>
        <w:spacing w:after="0"/>
        <w:jc w:val="center"/>
        <w:rPr>
          <w:b/>
          <w:bCs/>
          <w:sz w:val="28"/>
          <w:szCs w:val="28"/>
        </w:rPr>
      </w:pPr>
    </w:p>
    <w:p w14:paraId="12049F97" w14:textId="29AF1517" w:rsidR="00D2466F" w:rsidRPr="00D2466F" w:rsidRDefault="00061315" w:rsidP="00D2466F">
      <w:pPr>
        <w:spacing w:after="0"/>
        <w:jc w:val="both"/>
        <w:rPr>
          <w:b/>
          <w:bCs/>
          <w:sz w:val="28"/>
          <w:szCs w:val="28"/>
        </w:rPr>
      </w:pPr>
      <w:r w:rsidRPr="00061315">
        <w:rPr>
          <w:b/>
          <w:bCs/>
          <w:sz w:val="28"/>
          <w:szCs w:val="28"/>
        </w:rPr>
        <w:t>ANNIE-PAULE QUINSAC</w:t>
      </w:r>
    </w:p>
    <w:p w14:paraId="6829658E" w14:textId="015DFE3B" w:rsidR="00EF0E8D" w:rsidRPr="00EF0E8D" w:rsidRDefault="00061315" w:rsidP="00D2466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Curatrice della mostra</w:t>
      </w:r>
    </w:p>
    <w:p w14:paraId="7C6D4DA8" w14:textId="278E1A7B" w:rsidR="0044794B" w:rsidRPr="008D17D8" w:rsidRDefault="0044794B" w:rsidP="00405934">
      <w:pPr>
        <w:spacing w:after="0"/>
        <w:rPr>
          <w:sz w:val="28"/>
          <w:szCs w:val="28"/>
        </w:rPr>
      </w:pPr>
    </w:p>
    <w:p w14:paraId="119AB67B" w14:textId="79265505" w:rsidR="00D2466F" w:rsidRPr="00061315" w:rsidRDefault="00061315" w:rsidP="00405934">
      <w:pPr>
        <w:spacing w:after="0"/>
        <w:rPr>
          <w:b/>
          <w:bCs/>
          <w:i/>
          <w:iCs/>
          <w:sz w:val="28"/>
          <w:szCs w:val="28"/>
        </w:rPr>
      </w:pPr>
      <w:r w:rsidRPr="00061315">
        <w:rPr>
          <w:b/>
          <w:bCs/>
          <w:i/>
          <w:iCs/>
          <w:sz w:val="28"/>
          <w:szCs w:val="28"/>
        </w:rPr>
        <w:t>Linguaggio e simbolo</w:t>
      </w:r>
      <w:r w:rsidRPr="00061315">
        <w:rPr>
          <w:b/>
          <w:bCs/>
          <w:i/>
          <w:iCs/>
          <w:sz w:val="28"/>
          <w:szCs w:val="28"/>
        </w:rPr>
        <w:t>: “</w:t>
      </w:r>
      <w:proofErr w:type="gramStart"/>
      <w:r w:rsidRPr="00061315">
        <w:rPr>
          <w:b/>
          <w:bCs/>
          <w:i/>
          <w:iCs/>
          <w:sz w:val="28"/>
          <w:szCs w:val="28"/>
        </w:rPr>
        <w:t>All’ovile</w:t>
      </w:r>
      <w:r w:rsidRPr="00061315">
        <w:rPr>
          <w:b/>
          <w:bCs/>
          <w:i/>
          <w:iCs/>
          <w:sz w:val="28"/>
          <w:szCs w:val="28"/>
        </w:rPr>
        <w:t>”</w:t>
      </w:r>
      <w:r w:rsidRPr="00061315">
        <w:rPr>
          <w:b/>
          <w:bCs/>
          <w:i/>
          <w:iCs/>
          <w:sz w:val="28"/>
          <w:szCs w:val="28"/>
        </w:rPr>
        <w:t xml:space="preserve">  *</w:t>
      </w:r>
      <w:proofErr w:type="gramEnd"/>
    </w:p>
    <w:p w14:paraId="4ED3A0AB" w14:textId="77777777" w:rsidR="00061315" w:rsidRDefault="00061315" w:rsidP="008D17D8">
      <w:pPr>
        <w:spacing w:after="0"/>
        <w:jc w:val="both"/>
        <w:rPr>
          <w:sz w:val="24"/>
          <w:szCs w:val="24"/>
        </w:rPr>
      </w:pPr>
    </w:p>
    <w:p w14:paraId="309DD634" w14:textId="77777777" w:rsidR="00061315" w:rsidRPr="00061315" w:rsidRDefault="00061315" w:rsidP="008D17D8">
      <w:pPr>
        <w:spacing w:after="0"/>
        <w:jc w:val="both"/>
        <w:rPr>
          <w:rFonts w:cstheme="minorHAnsi"/>
          <w:sz w:val="24"/>
          <w:szCs w:val="24"/>
        </w:rPr>
      </w:pPr>
    </w:p>
    <w:p w14:paraId="3E9D97AD" w14:textId="3B3F8F02" w:rsidR="00061315" w:rsidRDefault="00061315" w:rsidP="0006131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704432">
        <w:rPr>
          <w:rFonts w:cstheme="minorHAnsi"/>
          <w:i/>
          <w:iCs/>
          <w:sz w:val="24"/>
          <w:szCs w:val="24"/>
        </w:rPr>
        <w:t xml:space="preserve">Una mostra dossier. </w:t>
      </w:r>
      <w:r w:rsidRPr="00704432">
        <w:rPr>
          <w:rFonts w:cstheme="minorHAnsi"/>
          <w:sz w:val="24"/>
          <w:szCs w:val="24"/>
        </w:rPr>
        <w:t>All’ovile</w:t>
      </w:r>
      <w:r w:rsidRPr="00704432">
        <w:rPr>
          <w:rFonts w:cstheme="minorHAnsi"/>
          <w:i/>
          <w:iCs/>
          <w:sz w:val="24"/>
          <w:szCs w:val="24"/>
        </w:rPr>
        <w:t>, cardine della</w:t>
      </w:r>
      <w:r w:rsidRPr="00704432"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ricerca luminista di Segantini</w:t>
      </w:r>
      <w:r w:rsidRPr="00704432">
        <w:rPr>
          <w:rFonts w:cstheme="minorHAnsi"/>
          <w:i/>
          <w:iCs/>
          <w:sz w:val="24"/>
          <w:szCs w:val="24"/>
        </w:rPr>
        <w:t>.</w:t>
      </w:r>
    </w:p>
    <w:p w14:paraId="105E1FF0" w14:textId="77777777" w:rsidR="00704432" w:rsidRPr="00704432" w:rsidRDefault="00704432" w:rsidP="0006131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11E64E6C" w14:textId="3EB9B6D0" w:rsidR="00061315" w:rsidRPr="00061315" w:rsidRDefault="00061315" w:rsidP="0006131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61315">
        <w:rPr>
          <w:rFonts w:cstheme="minorHAnsi"/>
          <w:i/>
          <w:iCs/>
          <w:sz w:val="24"/>
          <w:szCs w:val="24"/>
        </w:rPr>
        <w:t xml:space="preserve">All’ovile </w:t>
      </w:r>
      <w:r w:rsidRPr="00061315">
        <w:rPr>
          <w:rFonts w:cstheme="minorHAnsi"/>
          <w:sz w:val="24"/>
          <w:szCs w:val="24"/>
        </w:rPr>
        <w:t>fa oggi la sua prima apparizione in Svizzera,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al Museo Segantini di St. Moritz, in una mostra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i/>
          <w:iCs/>
          <w:sz w:val="24"/>
          <w:szCs w:val="24"/>
        </w:rPr>
        <w:t xml:space="preserve">dossier </w:t>
      </w:r>
      <w:r w:rsidRPr="00061315">
        <w:rPr>
          <w:rFonts w:cstheme="minorHAnsi"/>
          <w:sz w:val="24"/>
          <w:szCs w:val="24"/>
        </w:rPr>
        <w:t>che, nel raffronto con la documentazione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fotografica, testimone delle indagini scientifiche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 xml:space="preserve">condotte dai due studiosi italiani Davide </w:t>
      </w:r>
      <w:proofErr w:type="spellStart"/>
      <w:r w:rsidRPr="00061315">
        <w:rPr>
          <w:rFonts w:cstheme="minorHAnsi"/>
          <w:sz w:val="24"/>
          <w:szCs w:val="24"/>
        </w:rPr>
        <w:t>Bussolari</w:t>
      </w:r>
      <w:proofErr w:type="spellEnd"/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 xml:space="preserve">e Stefano </w:t>
      </w:r>
      <w:proofErr w:type="spellStart"/>
      <w:r w:rsidRPr="00061315">
        <w:rPr>
          <w:rFonts w:cstheme="minorHAnsi"/>
          <w:sz w:val="24"/>
          <w:szCs w:val="24"/>
        </w:rPr>
        <w:t>Volpin</w:t>
      </w:r>
      <w:proofErr w:type="spellEnd"/>
      <w:r w:rsidRPr="00061315">
        <w:rPr>
          <w:rFonts w:cstheme="minorHAnsi"/>
          <w:sz w:val="24"/>
          <w:szCs w:val="24"/>
        </w:rPr>
        <w:t>, permette di scoprirne la lenta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genesi, dalla tela bianca alla risultanza finale.</w:t>
      </w:r>
    </w:p>
    <w:p w14:paraId="09C579F7" w14:textId="2A495563" w:rsidR="00704432" w:rsidRPr="00704432" w:rsidRDefault="00061315" w:rsidP="00704432">
      <w:pPr>
        <w:spacing w:after="0"/>
        <w:jc w:val="both"/>
        <w:rPr>
          <w:rFonts w:cstheme="minorHAnsi"/>
          <w:sz w:val="24"/>
          <w:szCs w:val="24"/>
        </w:rPr>
      </w:pPr>
      <w:r w:rsidRPr="00061315">
        <w:rPr>
          <w:rFonts w:cstheme="minorHAnsi"/>
          <w:sz w:val="24"/>
          <w:szCs w:val="24"/>
        </w:rPr>
        <w:t>Il dipinto – capolavoro di Segantini, del Divisionismo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italiano e della pittura europea fine secolo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 xml:space="preserve">– vanta un ricco </w:t>
      </w:r>
      <w:r w:rsidRPr="00061315">
        <w:rPr>
          <w:rFonts w:cstheme="minorHAnsi"/>
          <w:i/>
          <w:iCs/>
          <w:sz w:val="24"/>
          <w:szCs w:val="24"/>
        </w:rPr>
        <w:t xml:space="preserve">curriculum </w:t>
      </w:r>
      <w:r w:rsidRPr="00061315">
        <w:rPr>
          <w:rFonts w:cstheme="minorHAnsi"/>
          <w:sz w:val="24"/>
          <w:szCs w:val="24"/>
        </w:rPr>
        <w:t>espositivo, a muovere,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andando per sommi capi, dalla Grafton Gallery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di Londra, nel 1893, alla retrospettiva nella Sala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3 della XV Biennale di Venezia del 1926. Poi, la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>mostra di regime organizzata da Antonio Maraini</w:t>
      </w:r>
      <w:r w:rsidR="00704432">
        <w:rPr>
          <w:rFonts w:cstheme="minorHAnsi"/>
          <w:sz w:val="24"/>
          <w:szCs w:val="24"/>
        </w:rPr>
        <w:t xml:space="preserve"> </w:t>
      </w:r>
      <w:r w:rsidRPr="00061315">
        <w:rPr>
          <w:rFonts w:cstheme="minorHAnsi"/>
          <w:sz w:val="24"/>
          <w:szCs w:val="24"/>
        </w:rPr>
        <w:t xml:space="preserve">nel 1935 al Musée </w:t>
      </w:r>
      <w:proofErr w:type="spellStart"/>
      <w:r w:rsidRPr="00061315">
        <w:rPr>
          <w:rFonts w:cstheme="minorHAnsi"/>
          <w:sz w:val="24"/>
          <w:szCs w:val="24"/>
        </w:rPr>
        <w:t>du</w:t>
      </w:r>
      <w:proofErr w:type="spellEnd"/>
      <w:r w:rsidRPr="00061315">
        <w:rPr>
          <w:rFonts w:cstheme="minorHAnsi"/>
          <w:sz w:val="24"/>
          <w:szCs w:val="24"/>
        </w:rPr>
        <w:t xml:space="preserve"> Jeu de </w:t>
      </w:r>
      <w:proofErr w:type="spellStart"/>
      <w:r w:rsidRPr="00061315">
        <w:rPr>
          <w:rFonts w:cstheme="minorHAnsi"/>
          <w:sz w:val="24"/>
          <w:szCs w:val="24"/>
        </w:rPr>
        <w:t>Paume</w:t>
      </w:r>
      <w:proofErr w:type="spellEnd"/>
      <w:r w:rsidRPr="00061315">
        <w:rPr>
          <w:rFonts w:cstheme="minorHAnsi"/>
          <w:sz w:val="24"/>
          <w:szCs w:val="24"/>
        </w:rPr>
        <w:t xml:space="preserve"> di Parigi,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allo scopo di presentare le gemme autoctone, senza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entrare nel merito di scuole o tendenze. Per chiudere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con la XXVI Biennale di Venezia del 1952 e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la Sala titolata al Divisionismo italiano, commissario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Marco Valsecchi, abbinata a quella del Divisionismo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in Francia, per la verità meglio noto come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 xml:space="preserve">Neoimpressionismo, affidata a Raymond </w:t>
      </w:r>
      <w:proofErr w:type="spellStart"/>
      <w:r w:rsidR="00704432" w:rsidRPr="00704432">
        <w:rPr>
          <w:rFonts w:cstheme="minorHAnsi"/>
          <w:sz w:val="24"/>
          <w:szCs w:val="24"/>
        </w:rPr>
        <w:t>Cogniat</w:t>
      </w:r>
      <w:proofErr w:type="spellEnd"/>
      <w:r w:rsidR="00704432" w:rsidRPr="00704432">
        <w:rPr>
          <w:rFonts w:cstheme="minorHAnsi"/>
          <w:sz w:val="24"/>
          <w:szCs w:val="24"/>
        </w:rPr>
        <w:t>,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entrambe ventinove opere. L’evento è tuttora ricordato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quale primo tentativo, pur tardo, di storicizzazione.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Da allora, All’ovile era sparito dai palcoscenici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espositivi, sino a quando io stessa ho avuto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>modo di riproporlo al Castello Visconteo Sforzesco</w:t>
      </w:r>
      <w:r w:rsidR="00704432">
        <w:rPr>
          <w:rFonts w:cstheme="minorHAnsi"/>
          <w:sz w:val="24"/>
          <w:szCs w:val="24"/>
        </w:rPr>
        <w:t xml:space="preserve"> </w:t>
      </w:r>
      <w:r w:rsidR="00704432" w:rsidRPr="00704432">
        <w:rPr>
          <w:rFonts w:cstheme="minorHAnsi"/>
          <w:sz w:val="24"/>
          <w:szCs w:val="24"/>
        </w:rPr>
        <w:t xml:space="preserve">di Novara nel 2019 per la mostra </w:t>
      </w:r>
      <w:r w:rsidR="00704432" w:rsidRPr="00704432">
        <w:rPr>
          <w:rFonts w:cstheme="minorHAnsi"/>
          <w:i/>
          <w:iCs/>
          <w:sz w:val="24"/>
          <w:szCs w:val="24"/>
        </w:rPr>
        <w:t>Divisionismo. La</w:t>
      </w:r>
      <w:r w:rsidR="00704432" w:rsidRPr="00704432">
        <w:rPr>
          <w:rFonts w:cstheme="minorHAnsi"/>
          <w:i/>
          <w:iCs/>
          <w:sz w:val="24"/>
          <w:szCs w:val="24"/>
        </w:rPr>
        <w:t xml:space="preserve"> </w:t>
      </w:r>
      <w:r w:rsidR="00704432" w:rsidRPr="00704432">
        <w:rPr>
          <w:rFonts w:cstheme="minorHAnsi"/>
          <w:i/>
          <w:iCs/>
          <w:sz w:val="24"/>
          <w:szCs w:val="24"/>
        </w:rPr>
        <w:t>rivoluzione della luce.</w:t>
      </w:r>
    </w:p>
    <w:p w14:paraId="1073F0A6" w14:textId="5DD630EA" w:rsidR="00704432" w:rsidRP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>Indietro nel tempo. Avevo visto per la prima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Pr="00704432">
        <w:rPr>
          <w:rFonts w:cstheme="minorHAnsi"/>
          <w:sz w:val="24"/>
          <w:szCs w:val="24"/>
        </w:rPr>
        <w:t>volta</w:t>
      </w:r>
      <w:proofErr w:type="gramEnd"/>
      <w:r w:rsidRPr="00704432">
        <w:rPr>
          <w:rFonts w:cstheme="minorHAnsi"/>
          <w:sz w:val="24"/>
          <w:szCs w:val="24"/>
        </w:rPr>
        <w:t xml:space="preserve"> All’ovile nel 1967, in casa del collezionista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Mario Rossello; lo ricopriva uno strato di polvere 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non era concesso rimuoverlo dalla parete, per trarne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eventuali indicazioni dal retro, la firma sembrava un monogramma e ambigua la data, tanto che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nel </w:t>
      </w:r>
      <w:r w:rsidRPr="00704432">
        <w:rPr>
          <w:rFonts w:cstheme="minorHAnsi"/>
          <w:i/>
          <w:iCs/>
          <w:sz w:val="24"/>
          <w:szCs w:val="24"/>
        </w:rPr>
        <w:t xml:space="preserve">Catalogo generale </w:t>
      </w:r>
      <w:r w:rsidRPr="00704432">
        <w:rPr>
          <w:rFonts w:cstheme="minorHAnsi"/>
          <w:sz w:val="24"/>
          <w:szCs w:val="24"/>
        </w:rPr>
        <w:t>di Segantini l’avevo riferito al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1893 invece del 1892. </w:t>
      </w:r>
      <w:r w:rsidRPr="00704432">
        <w:rPr>
          <w:rFonts w:cstheme="minorHAnsi"/>
          <w:i/>
          <w:iCs/>
          <w:sz w:val="24"/>
          <w:szCs w:val="24"/>
        </w:rPr>
        <w:t xml:space="preserve">All’ovile </w:t>
      </w:r>
      <w:r w:rsidRPr="00704432">
        <w:rPr>
          <w:rFonts w:cstheme="minorHAnsi"/>
          <w:sz w:val="24"/>
          <w:szCs w:val="24"/>
        </w:rPr>
        <w:t>è uno dei tre dipinti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incentrati sugli effetti della luce artificiale in una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stalla: il monumentale </w:t>
      </w:r>
      <w:r w:rsidRPr="00704432">
        <w:rPr>
          <w:rFonts w:cstheme="minorHAnsi"/>
          <w:i/>
          <w:iCs/>
          <w:sz w:val="24"/>
          <w:szCs w:val="24"/>
        </w:rPr>
        <w:t xml:space="preserve">Le due madri </w:t>
      </w:r>
      <w:r w:rsidRPr="00704432">
        <w:rPr>
          <w:rFonts w:cstheme="minorHAnsi"/>
          <w:sz w:val="24"/>
          <w:szCs w:val="24"/>
        </w:rPr>
        <w:t xml:space="preserve">o </w:t>
      </w:r>
      <w:r w:rsidRPr="00704432">
        <w:rPr>
          <w:rFonts w:cstheme="minorHAnsi"/>
          <w:i/>
          <w:iCs/>
          <w:sz w:val="24"/>
          <w:szCs w:val="24"/>
        </w:rPr>
        <w:t>Studio di lanterna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del 1889 e il più piccolo </w:t>
      </w:r>
      <w:r w:rsidRPr="00704432">
        <w:rPr>
          <w:rFonts w:cstheme="minorHAnsi"/>
          <w:i/>
          <w:iCs/>
          <w:sz w:val="24"/>
          <w:szCs w:val="24"/>
        </w:rPr>
        <w:t xml:space="preserve">All’arcolaio </w:t>
      </w:r>
      <w:r w:rsidRPr="00704432">
        <w:rPr>
          <w:rFonts w:cstheme="minorHAnsi"/>
          <w:sz w:val="24"/>
          <w:szCs w:val="24"/>
        </w:rPr>
        <w:t>del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1891, al Museo di Belle Arti di Adelaide dal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1898 e qui rappresentato dal disegno che lo riprende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più fedelmente, mentre le altre due versioni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su carta – una al </w:t>
      </w:r>
      <w:proofErr w:type="spellStart"/>
      <w:r w:rsidRPr="00704432">
        <w:rPr>
          <w:rFonts w:cstheme="minorHAnsi"/>
          <w:sz w:val="24"/>
          <w:szCs w:val="24"/>
        </w:rPr>
        <w:t>Mart</w:t>
      </w:r>
      <w:proofErr w:type="spellEnd"/>
      <w:r w:rsidRPr="00704432">
        <w:rPr>
          <w:rFonts w:cstheme="minorHAnsi"/>
          <w:sz w:val="24"/>
          <w:szCs w:val="24"/>
        </w:rPr>
        <w:t xml:space="preserve"> di Rovereto e l’altra al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Museo di Belle Arti di Budapest – sono speculari,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in preparazione di un’acquaforte, senza comunque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intervenire sull’immagine, come se l’effetto di magia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della tela avesse pienamente soddisfatto l’artista,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escludendo ogni ripensamento.</w:t>
      </w:r>
    </w:p>
    <w:p w14:paraId="06A06044" w14:textId="48D46B7A" w:rsid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>Tutti e tre i dipinti “di stalla” traspongono in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un linguaggio sperimentale moderno gli stilemi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della tradizione luminista seicentesca, da Caravaggio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 Le Nain, senza dimenticare i fiamminghi 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le incisioni di Rembrandt che Segantini conosceva.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 xml:space="preserve">All’ovile </w:t>
      </w:r>
      <w:r w:rsidRPr="00704432">
        <w:rPr>
          <w:rFonts w:cstheme="minorHAnsi"/>
          <w:sz w:val="24"/>
          <w:szCs w:val="24"/>
        </w:rPr>
        <w:t>conclude tale ricerca, a dire il vero preceduto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una scena di genere, non leziosa ma più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aneddotica, </w:t>
      </w:r>
      <w:r w:rsidRPr="00704432">
        <w:rPr>
          <w:rFonts w:cstheme="minorHAnsi"/>
          <w:i/>
          <w:iCs/>
          <w:sz w:val="24"/>
          <w:szCs w:val="24"/>
        </w:rPr>
        <w:t xml:space="preserve">I miei modelli </w:t>
      </w:r>
      <w:r w:rsidRPr="00704432">
        <w:rPr>
          <w:rFonts w:cstheme="minorHAnsi"/>
          <w:sz w:val="24"/>
          <w:szCs w:val="24"/>
        </w:rPr>
        <w:t>del 1888</w:t>
      </w:r>
      <w:r>
        <w:rPr>
          <w:rFonts w:cstheme="minorHAnsi"/>
          <w:sz w:val="24"/>
          <w:szCs w:val="24"/>
        </w:rPr>
        <w:t>,</w:t>
      </w:r>
      <w:r w:rsidRPr="00704432">
        <w:rPr>
          <w:rFonts w:cstheme="minorHAnsi"/>
          <w:sz w:val="24"/>
          <w:szCs w:val="24"/>
        </w:rPr>
        <w:t xml:space="preserve"> realizzato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dunque quattro anni addietro e privo di quella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connotazione di tepore nella resa più fredda della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luce artificiale. Il che – dirò più avanti – va senza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dubbio ascritto alla tecnica adottata. I protagonisti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lastRenderedPageBreak/>
        <w:t>sono due ragazzi che, introdottisi nella casa dell’artista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a </w:t>
      </w:r>
      <w:proofErr w:type="spellStart"/>
      <w:r w:rsidRPr="00704432">
        <w:rPr>
          <w:rFonts w:cstheme="minorHAnsi"/>
          <w:sz w:val="24"/>
          <w:szCs w:val="24"/>
        </w:rPr>
        <w:t>Savognino</w:t>
      </w:r>
      <w:proofErr w:type="spellEnd"/>
      <w:r w:rsidRPr="00704432">
        <w:rPr>
          <w:rFonts w:cstheme="minorHAnsi"/>
          <w:sz w:val="24"/>
          <w:szCs w:val="24"/>
        </w:rPr>
        <w:t xml:space="preserve">, osservano, con una lanterna, </w:t>
      </w:r>
      <w:r w:rsidRPr="00704432">
        <w:rPr>
          <w:rFonts w:cstheme="minorHAnsi"/>
          <w:i/>
          <w:iCs/>
          <w:sz w:val="24"/>
          <w:szCs w:val="24"/>
        </w:rPr>
        <w:t>Ritorno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all’ovile</w:t>
      </w:r>
      <w:r w:rsidRPr="00704432">
        <w:rPr>
          <w:rFonts w:cstheme="minorHAnsi"/>
          <w:sz w:val="24"/>
          <w:szCs w:val="24"/>
        </w:rPr>
        <w:t>, appena abbozzato sul cavalletto,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e </w:t>
      </w:r>
      <w:r w:rsidRPr="00704432">
        <w:rPr>
          <w:rFonts w:cstheme="minorHAnsi"/>
          <w:i/>
          <w:iCs/>
          <w:sz w:val="24"/>
          <w:szCs w:val="24"/>
        </w:rPr>
        <w:t>L’aratura</w:t>
      </w:r>
      <w:r w:rsidRPr="00704432">
        <w:rPr>
          <w:rFonts w:cstheme="minorHAnsi"/>
          <w:sz w:val="24"/>
          <w:szCs w:val="24"/>
        </w:rPr>
        <w:t>, contro la parete in basso. È la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prima opera segantiniana intesa a ottimizzare gli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effetti di traduzione luminista in interno, pur se è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il gioco delle ombre portate e non il chiaroscuro ad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ammantare di un senso di mistero persino la percezione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dello spazio. Per l’odierna mostra si è dovuto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sostituire anche </w:t>
      </w:r>
      <w:r w:rsidRPr="00704432">
        <w:rPr>
          <w:rFonts w:cstheme="minorHAnsi"/>
          <w:i/>
          <w:iCs/>
          <w:sz w:val="24"/>
          <w:szCs w:val="24"/>
        </w:rPr>
        <w:t xml:space="preserve">I miei modelli </w:t>
      </w:r>
      <w:r w:rsidRPr="00704432">
        <w:rPr>
          <w:rFonts w:cstheme="minorHAnsi"/>
          <w:sz w:val="24"/>
          <w:szCs w:val="24"/>
        </w:rPr>
        <w:t>con il disegno che 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deriva senza reinterpretarlo. Curiosamente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uno schizzo a carboncino sul retro di </w:t>
      </w:r>
      <w:r w:rsidRPr="00704432">
        <w:rPr>
          <w:rFonts w:cstheme="minorHAnsi"/>
          <w:i/>
          <w:iCs/>
          <w:sz w:val="24"/>
          <w:szCs w:val="24"/>
        </w:rPr>
        <w:t xml:space="preserve">All’ovile </w:t>
      </w:r>
      <w:r w:rsidRPr="00704432">
        <w:rPr>
          <w:rFonts w:cstheme="minorHAnsi"/>
          <w:sz w:val="24"/>
          <w:szCs w:val="24"/>
        </w:rPr>
        <w:t>presenta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una scena più o meno rapportabile a </w:t>
      </w:r>
      <w:r w:rsidRPr="00704432">
        <w:rPr>
          <w:rFonts w:cstheme="minorHAnsi"/>
          <w:i/>
          <w:iCs/>
          <w:sz w:val="24"/>
          <w:szCs w:val="24"/>
        </w:rPr>
        <w:t>I miei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modelli</w:t>
      </w:r>
      <w:r w:rsidRPr="00704432">
        <w:rPr>
          <w:rFonts w:cstheme="minorHAnsi"/>
          <w:sz w:val="24"/>
          <w:szCs w:val="24"/>
        </w:rPr>
        <w:t>, con quattro figure apparentemente in contemplazione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di un quadro incorniciato, suggerito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un rettangolo vuoto. L’autografia non è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in questione, e oltre tutto non avrebbe logica che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uno dei figli abbia scarabocchiato il retro di una tela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già dipinta. Pur difficile da spiegare, lo schizzo segna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comunque il ripensamento di un’opera legata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all’inizio, appunto, della ricerca luminista, come il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primo strato materico del dipinto ha rivelato già un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ripristino del concetto de </w:t>
      </w:r>
      <w:r w:rsidRPr="00704432">
        <w:rPr>
          <w:rFonts w:cstheme="minorHAnsi"/>
          <w:i/>
          <w:iCs/>
          <w:sz w:val="24"/>
          <w:szCs w:val="24"/>
        </w:rPr>
        <w:t>Le due madri</w:t>
      </w:r>
      <w:r w:rsidRPr="00704432">
        <w:rPr>
          <w:rFonts w:cstheme="minorHAnsi"/>
          <w:sz w:val="24"/>
          <w:szCs w:val="24"/>
        </w:rPr>
        <w:t>.</w:t>
      </w:r>
    </w:p>
    <w:p w14:paraId="1404DF01" w14:textId="19EBF15F" w:rsid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</w:p>
    <w:p w14:paraId="1A21DA10" w14:textId="6C16F6F6" w:rsidR="00704432" w:rsidRDefault="00704432" w:rsidP="00704432">
      <w:pPr>
        <w:spacing w:after="0"/>
        <w:jc w:val="both"/>
        <w:rPr>
          <w:rFonts w:cstheme="minorHAnsi"/>
          <w:i/>
          <w:iCs/>
          <w:sz w:val="24"/>
          <w:szCs w:val="24"/>
        </w:rPr>
      </w:pPr>
      <w:r w:rsidRPr="00704432">
        <w:rPr>
          <w:rFonts w:cstheme="minorHAnsi"/>
          <w:i/>
          <w:iCs/>
          <w:sz w:val="24"/>
          <w:szCs w:val="24"/>
        </w:rPr>
        <w:t>Il concetto segantiniano di opere come tessere</w:t>
      </w:r>
      <w:r w:rsidRPr="00704432"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di una continuità mirata all’elaborazione di un</w:t>
      </w:r>
      <w:r w:rsidRPr="00704432"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linguaggio espressivo</w:t>
      </w:r>
      <w:r>
        <w:rPr>
          <w:rFonts w:cstheme="minorHAnsi"/>
          <w:i/>
          <w:iCs/>
          <w:sz w:val="24"/>
          <w:szCs w:val="24"/>
        </w:rPr>
        <w:t>.</w:t>
      </w:r>
    </w:p>
    <w:p w14:paraId="480D3DD1" w14:textId="77777777" w:rsidR="00704432" w:rsidRPr="00704432" w:rsidRDefault="00704432" w:rsidP="00704432">
      <w:pPr>
        <w:spacing w:after="0"/>
        <w:jc w:val="both"/>
        <w:rPr>
          <w:rFonts w:cstheme="minorHAnsi"/>
          <w:i/>
          <w:iCs/>
          <w:sz w:val="24"/>
          <w:szCs w:val="24"/>
        </w:rPr>
      </w:pPr>
    </w:p>
    <w:p w14:paraId="7CC66089" w14:textId="338FD9EC" w:rsid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 xml:space="preserve">A partire da </w:t>
      </w:r>
      <w:r w:rsidRPr="00704432">
        <w:rPr>
          <w:rFonts w:cstheme="minorHAnsi"/>
          <w:i/>
          <w:iCs/>
          <w:sz w:val="24"/>
          <w:szCs w:val="24"/>
        </w:rPr>
        <w:t xml:space="preserve">Alla stanga </w:t>
      </w:r>
      <w:r w:rsidRPr="00704432">
        <w:rPr>
          <w:rFonts w:cstheme="minorHAnsi"/>
          <w:sz w:val="24"/>
          <w:szCs w:val="24"/>
        </w:rPr>
        <w:t>del 1886, che conclude il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periodo della Brianza, Segantini è ormai orientato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verso un’estetica globale, in cui ogni lavoro sia tessera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di un assieme, principio ribadito ai Comitati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nazionali e internazionali, cui dava pignole istruzioni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espositive perché si percepisse la continuità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dell’idea sviluppata nei singoli pezzi, tant’è che,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dalla scelta dei Grigioni quale dimora e fonte d’ispirazione,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ossia dal 1886, per le opere più importanti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adotta la classificazione cronologica in </w:t>
      </w:r>
      <w:r w:rsidRPr="00704432">
        <w:rPr>
          <w:rFonts w:cstheme="minorHAnsi"/>
          <w:i/>
          <w:iCs/>
          <w:sz w:val="24"/>
          <w:szCs w:val="24"/>
        </w:rPr>
        <w:t xml:space="preserve">opus </w:t>
      </w:r>
      <w:r w:rsidRPr="00704432">
        <w:rPr>
          <w:rFonts w:cstheme="minorHAnsi"/>
          <w:sz w:val="24"/>
          <w:szCs w:val="24"/>
        </w:rPr>
        <w:t>seguita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dalle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cifre romane, sull’esempio di J.M. Whistler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(lo faceva anche Paul Signac, ma Segantini non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lo conosceva). Per inciso, ma va detto, si adeguerà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lo stesso Vittore </w:t>
      </w:r>
      <w:proofErr w:type="spellStart"/>
      <w:r w:rsidRPr="00704432">
        <w:rPr>
          <w:rFonts w:cstheme="minorHAnsi"/>
          <w:sz w:val="24"/>
          <w:szCs w:val="24"/>
        </w:rPr>
        <w:t>Grubicy</w:t>
      </w:r>
      <w:proofErr w:type="spellEnd"/>
      <w:r w:rsidRPr="00704432">
        <w:rPr>
          <w:rFonts w:cstheme="minorHAnsi"/>
          <w:sz w:val="24"/>
          <w:szCs w:val="24"/>
        </w:rPr>
        <w:t xml:space="preserve"> de Dragon, il critico suo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primo mentore e mercante, con la serie </w:t>
      </w:r>
      <w:r w:rsidRPr="00704432">
        <w:rPr>
          <w:rFonts w:cstheme="minorHAnsi"/>
          <w:i/>
          <w:iCs/>
          <w:sz w:val="24"/>
          <w:szCs w:val="24"/>
        </w:rPr>
        <w:t>Poema invernale</w:t>
      </w:r>
      <w:r w:rsidRPr="0070443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conservata alla Galleria d’Arte Moderna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Milano. Tornando a Segantini, doveva trattarsi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prassi un po’ troppo macchinosa, se, di fatto, non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sembra sia sopravvissuta oltre il 1890. Per esempio,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 xml:space="preserve">I miei modelli </w:t>
      </w:r>
      <w:r w:rsidRPr="00704432">
        <w:rPr>
          <w:rFonts w:cstheme="minorHAnsi"/>
          <w:sz w:val="24"/>
          <w:szCs w:val="24"/>
        </w:rPr>
        <w:t xml:space="preserve">è “Opus LXXV”, mentre </w:t>
      </w:r>
      <w:r w:rsidRPr="00704432">
        <w:rPr>
          <w:rFonts w:cstheme="minorHAnsi"/>
          <w:i/>
          <w:iCs/>
          <w:sz w:val="24"/>
          <w:szCs w:val="24"/>
        </w:rPr>
        <w:t>Ritorno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all’ovile</w:t>
      </w:r>
      <w:r w:rsidRPr="00704432">
        <w:rPr>
          <w:rFonts w:cstheme="minorHAnsi"/>
          <w:sz w:val="24"/>
          <w:szCs w:val="24"/>
        </w:rPr>
        <w:t>, dello stesso 1888, non appare catalogato, 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meno che non lo fosse a retro, come per </w:t>
      </w:r>
      <w:r w:rsidRPr="00704432">
        <w:rPr>
          <w:rFonts w:cstheme="minorHAnsi"/>
          <w:i/>
          <w:iCs/>
          <w:sz w:val="24"/>
          <w:szCs w:val="24"/>
        </w:rPr>
        <w:t>Petalo di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rosa</w:t>
      </w:r>
      <w:r w:rsidRPr="00704432">
        <w:rPr>
          <w:rFonts w:cstheme="minorHAnsi"/>
          <w:sz w:val="24"/>
          <w:szCs w:val="24"/>
        </w:rPr>
        <w:t xml:space="preserve">, del 1890, che mi risulta </w:t>
      </w:r>
      <w:proofErr w:type="gramStart"/>
      <w:r w:rsidRPr="00704432">
        <w:rPr>
          <w:rFonts w:cstheme="minorHAnsi"/>
          <w:sz w:val="24"/>
          <w:szCs w:val="24"/>
        </w:rPr>
        <w:t xml:space="preserve">l’ultima </w:t>
      </w:r>
      <w:r w:rsidRPr="00704432">
        <w:rPr>
          <w:rFonts w:cstheme="minorHAnsi"/>
          <w:i/>
          <w:iCs/>
          <w:sz w:val="24"/>
          <w:szCs w:val="24"/>
        </w:rPr>
        <w:t>opus</w:t>
      </w:r>
      <w:proofErr w:type="gramEnd"/>
      <w:r w:rsidRPr="00704432">
        <w:rPr>
          <w:rFonts w:cstheme="minorHAnsi"/>
          <w:sz w:val="24"/>
          <w:szCs w:val="24"/>
        </w:rPr>
        <w:t>.</w:t>
      </w:r>
    </w:p>
    <w:p w14:paraId="00E62D4E" w14:textId="4BD1D981" w:rsidR="00704432" w:rsidRP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>Lo studio attento di lettere e telegrammi inviati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al Comitato organizzatore dell’Esposizione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Nazionale Artistica di Venezia del 1887, in cui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Segantini esprime per la prima volta il proposito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partecipare secondo un determinato allestimento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lui stesso schizzato, dimostra chiaramente che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non intendeva definire la propria arte entro un’iconografia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precisa, bensì disegno/pittura quale linguaggio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progressivamente conquistato al servizio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 vero, sia esso in natura o nel ritratto. Le cinque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opere scelte, con effetto di diorama, avrebbero dovuto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testimoniare l’evoluzione di un quinquennio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di ricerca, scavalcando la partenza dall’Italia e i limiti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della scena di genere, per illustrare il passaggio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una pittura tonale al Divisionismo. Le voleva su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una stessa parete: da sinistra a destra, </w:t>
      </w:r>
      <w:r w:rsidRPr="00704432">
        <w:rPr>
          <w:rFonts w:cstheme="minorHAnsi"/>
          <w:i/>
          <w:iCs/>
          <w:sz w:val="24"/>
          <w:szCs w:val="24"/>
        </w:rPr>
        <w:t>Alla stanga</w:t>
      </w:r>
      <w:r w:rsidRPr="0070443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seguito dal </w:t>
      </w:r>
      <w:r w:rsidRPr="00704432">
        <w:rPr>
          <w:rFonts w:cstheme="minorHAnsi"/>
          <w:i/>
          <w:iCs/>
          <w:sz w:val="24"/>
          <w:szCs w:val="24"/>
        </w:rPr>
        <w:t xml:space="preserve">Ritratto di Vittore </w:t>
      </w:r>
      <w:proofErr w:type="spellStart"/>
      <w:r w:rsidRPr="00704432">
        <w:rPr>
          <w:rFonts w:cstheme="minorHAnsi"/>
          <w:i/>
          <w:iCs/>
          <w:sz w:val="24"/>
          <w:szCs w:val="24"/>
        </w:rPr>
        <w:t>Grubicy</w:t>
      </w:r>
      <w:proofErr w:type="spellEnd"/>
      <w:r w:rsidRPr="00704432">
        <w:rPr>
          <w:rFonts w:cstheme="minorHAnsi"/>
          <w:sz w:val="24"/>
          <w:szCs w:val="24"/>
        </w:rPr>
        <w:t>, Op. LXXIII,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proprietà del critico (1887); </w:t>
      </w:r>
      <w:r w:rsidRPr="00704432">
        <w:rPr>
          <w:rFonts w:cstheme="minorHAnsi"/>
          <w:i/>
          <w:iCs/>
          <w:sz w:val="24"/>
          <w:szCs w:val="24"/>
        </w:rPr>
        <w:t>La tosatura delle pecore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[1883-1884], già nella collezione </w:t>
      </w:r>
      <w:proofErr w:type="spellStart"/>
      <w:r w:rsidRPr="00704432">
        <w:rPr>
          <w:rFonts w:cstheme="minorHAnsi"/>
          <w:sz w:val="24"/>
          <w:szCs w:val="24"/>
        </w:rPr>
        <w:t>Matsukata</w:t>
      </w:r>
      <w:proofErr w:type="spellEnd"/>
      <w:r w:rsidRPr="00704432">
        <w:rPr>
          <w:rFonts w:cstheme="minorHAnsi"/>
          <w:sz w:val="24"/>
          <w:szCs w:val="24"/>
        </w:rPr>
        <w:t xml:space="preserve">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Tokyo, </w:t>
      </w:r>
      <w:r w:rsidRPr="00704432">
        <w:rPr>
          <w:rFonts w:cstheme="minorHAnsi"/>
          <w:i/>
          <w:iCs/>
          <w:sz w:val="24"/>
          <w:szCs w:val="24"/>
        </w:rPr>
        <w:t>Ave Maria a trasbordo</w:t>
      </w:r>
      <w:r w:rsidRPr="00704432">
        <w:rPr>
          <w:rFonts w:cstheme="minorHAnsi"/>
          <w:sz w:val="24"/>
          <w:szCs w:val="24"/>
        </w:rPr>
        <w:t>, prima prova divisionista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del 188618, e infine </w:t>
      </w:r>
      <w:r w:rsidRPr="00704432">
        <w:rPr>
          <w:rFonts w:cstheme="minorHAnsi"/>
          <w:i/>
          <w:iCs/>
          <w:sz w:val="24"/>
          <w:szCs w:val="24"/>
        </w:rPr>
        <w:t>Sole d’autunno.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Vacca bianca all’abbeveratoio</w:t>
      </w:r>
      <w:r w:rsidRPr="00704432">
        <w:rPr>
          <w:rFonts w:cstheme="minorHAnsi"/>
          <w:sz w:val="24"/>
          <w:szCs w:val="24"/>
        </w:rPr>
        <w:t>, Op. LXXXIV, circondato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dodici disegni.</w:t>
      </w:r>
    </w:p>
    <w:p w14:paraId="5014F93A" w14:textId="4FCEC309" w:rsidR="00704432" w:rsidRP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>Circa il rapporto disegno/pittura occorre qui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aprire una parentesi sul modus operandi di Segantini,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irrevocabilmente basato sul plein air, dall’inizio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alla fine della realizzazione, fosse pure di lungo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periodo. Esclusi i rari casi dei primi anni, non esistono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studi preparatori nel corpus; alcuni quaderni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di schizzi di animali devono essere andati dispersi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negli spostamenti o volontariamente non conservati,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perché pochissimi sono i superstiti rintracciati.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Anche sulla tela abbozza le forme, ma raramente 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contorni, infatti, </w:t>
      </w:r>
      <w:proofErr w:type="spellStart"/>
      <w:r w:rsidRPr="00704432">
        <w:rPr>
          <w:rFonts w:cstheme="minorHAnsi"/>
          <w:sz w:val="24"/>
          <w:szCs w:val="24"/>
        </w:rPr>
        <w:t>Bussolari</w:t>
      </w:r>
      <w:proofErr w:type="spellEnd"/>
      <w:r w:rsidRPr="00704432">
        <w:rPr>
          <w:rFonts w:cstheme="minorHAnsi"/>
          <w:sz w:val="24"/>
          <w:szCs w:val="24"/>
        </w:rPr>
        <w:t xml:space="preserve"> e </w:t>
      </w:r>
      <w:proofErr w:type="spellStart"/>
      <w:r w:rsidRPr="00704432">
        <w:rPr>
          <w:rFonts w:cstheme="minorHAnsi"/>
          <w:sz w:val="24"/>
          <w:szCs w:val="24"/>
        </w:rPr>
        <w:t>Volpin</w:t>
      </w:r>
      <w:proofErr w:type="spellEnd"/>
      <w:r w:rsidRPr="00704432">
        <w:rPr>
          <w:rFonts w:cstheme="minorHAnsi"/>
          <w:sz w:val="24"/>
          <w:szCs w:val="24"/>
        </w:rPr>
        <w:t xml:space="preserve"> segnalano l’assenza di segno nella genesi di </w:t>
      </w:r>
      <w:r w:rsidRPr="00704432">
        <w:rPr>
          <w:rFonts w:cstheme="minorHAnsi"/>
          <w:i/>
          <w:iCs/>
          <w:sz w:val="24"/>
          <w:szCs w:val="24"/>
        </w:rPr>
        <w:t xml:space="preserve">All’ovile. </w:t>
      </w:r>
      <w:r w:rsidRPr="00704432">
        <w:rPr>
          <w:rFonts w:cstheme="minorHAnsi"/>
          <w:sz w:val="24"/>
          <w:szCs w:val="24"/>
        </w:rPr>
        <w:lastRenderedPageBreak/>
        <w:t>Malgrado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gli eredi facciano tuttora visitare lo Chalet </w:t>
      </w:r>
      <w:proofErr w:type="spellStart"/>
      <w:r w:rsidRPr="00704432">
        <w:rPr>
          <w:rFonts w:cstheme="minorHAnsi"/>
          <w:sz w:val="24"/>
          <w:szCs w:val="24"/>
        </w:rPr>
        <w:t>Kuomi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di Maloja, ultima dimora, indicando l’annesso padiglione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circolare quale </w:t>
      </w:r>
      <w:r w:rsidRPr="00704432">
        <w:rPr>
          <w:rFonts w:cstheme="minorHAnsi"/>
          <w:i/>
          <w:iCs/>
          <w:sz w:val="24"/>
          <w:szCs w:val="24"/>
        </w:rPr>
        <w:t xml:space="preserve">atelier </w:t>
      </w:r>
      <w:r w:rsidRPr="00704432">
        <w:rPr>
          <w:rFonts w:cstheme="minorHAnsi"/>
          <w:sz w:val="24"/>
          <w:szCs w:val="24"/>
        </w:rPr>
        <w:t>dell’artista, Segantini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non lo ebbe mai; lo divenne sì, ma del figlio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Gottardo. Perché, per ogni opera, anche di massima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dimensione, Segantini faceva costruire </w:t>
      </w:r>
      <w:r w:rsidRPr="00704432">
        <w:rPr>
          <w:rFonts w:cstheme="minorHAnsi"/>
          <w:i/>
          <w:iCs/>
          <w:sz w:val="24"/>
          <w:szCs w:val="24"/>
        </w:rPr>
        <w:t>in situ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una struttura in legno, comprensiva di cavalletto,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da richiudere la sera per difendere e non spostare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la tela cui stava lavorando di fronte allo scenario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natura cui intendeva ispirarsi.</w:t>
      </w:r>
    </w:p>
    <w:p w14:paraId="6093466E" w14:textId="793BCEB2" w:rsidR="00704432" w:rsidRP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>I disegni su carta, da lui definiti “roba da sera”,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li eseguiva a casa dopo il calare della luce diurna.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Erano riprese di memoria o a partire da fotografie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d’archivio di dipinti che riteneva importanti, in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una varietà di </w:t>
      </w:r>
      <w:r w:rsidRPr="00704432">
        <w:rPr>
          <w:rFonts w:cstheme="minorHAnsi"/>
          <w:i/>
          <w:iCs/>
          <w:sz w:val="24"/>
          <w:szCs w:val="24"/>
        </w:rPr>
        <w:t xml:space="preserve">medium </w:t>
      </w:r>
      <w:r w:rsidRPr="00704432">
        <w:rPr>
          <w:rFonts w:cstheme="minorHAnsi"/>
          <w:sz w:val="24"/>
          <w:szCs w:val="24"/>
        </w:rPr>
        <w:t>dal carboncino alle matite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dure, ai </w:t>
      </w:r>
      <w:proofErr w:type="spellStart"/>
      <w:r w:rsidRPr="00704432">
        <w:rPr>
          <w:rFonts w:cstheme="minorHAnsi"/>
          <w:i/>
          <w:iCs/>
          <w:sz w:val="24"/>
          <w:szCs w:val="24"/>
        </w:rPr>
        <w:t>conté</w:t>
      </w:r>
      <w:proofErr w:type="spellEnd"/>
      <w:r w:rsidRPr="00704432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704432">
        <w:rPr>
          <w:rFonts w:cstheme="minorHAnsi"/>
          <w:i/>
          <w:iCs/>
          <w:sz w:val="24"/>
          <w:szCs w:val="24"/>
        </w:rPr>
        <w:t>crayons</w:t>
      </w:r>
      <w:proofErr w:type="spellEnd"/>
      <w:r w:rsidRPr="00704432"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(spesso considerati pastelli),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alla </w:t>
      </w:r>
      <w:r w:rsidRPr="00704432">
        <w:rPr>
          <w:rFonts w:cstheme="minorHAnsi"/>
          <w:i/>
          <w:iCs/>
          <w:sz w:val="24"/>
          <w:szCs w:val="24"/>
        </w:rPr>
        <w:t xml:space="preserve">gouache </w:t>
      </w:r>
      <w:r w:rsidRPr="00704432">
        <w:rPr>
          <w:rFonts w:cstheme="minorHAnsi"/>
          <w:sz w:val="24"/>
          <w:szCs w:val="24"/>
        </w:rPr>
        <w:t>o tempera, più raramente acquerello.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Quelli fedeli all’immagine originale servivano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complemento per le mostre internazionali, allargando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l’arco dei temi presentati e tamponando così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la mancanza di dipinti da proporre, che spesso Segantini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si trovava a dover affrontare. Gli altri erano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reinterpretazioni, anche a distanza di anni,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opere anteriori, modificate in modo da accrescerne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la valenza simbolica. Un esempio chiarificatore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è il rifacimento di una delle versioni di </w:t>
      </w:r>
      <w:r w:rsidRPr="00704432">
        <w:rPr>
          <w:rFonts w:cstheme="minorHAnsi"/>
          <w:i/>
          <w:iCs/>
          <w:sz w:val="24"/>
          <w:szCs w:val="24"/>
        </w:rPr>
        <w:t>Ritorno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all’ovile</w:t>
      </w:r>
      <w:r w:rsidRPr="00704432">
        <w:rPr>
          <w:rFonts w:cstheme="minorHAnsi"/>
          <w:sz w:val="24"/>
          <w:szCs w:val="24"/>
        </w:rPr>
        <w:t>: non quella della collezione Fischbacher,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qui esposta, bensì una delle prime prove sul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tema, da collocare all’inizio del periodo brianteo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[1880-1881], trasformata un decennio dopo in inno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alla luce, fonte di vita.</w:t>
      </w:r>
    </w:p>
    <w:p w14:paraId="7533411E" w14:textId="2D16C2E6" w:rsid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  <w:r w:rsidRPr="00704432">
        <w:rPr>
          <w:rFonts w:cstheme="minorHAnsi"/>
          <w:sz w:val="24"/>
          <w:szCs w:val="24"/>
        </w:rPr>
        <w:t xml:space="preserve">Che per </w:t>
      </w:r>
      <w:r w:rsidRPr="00704432">
        <w:rPr>
          <w:rFonts w:cstheme="minorHAnsi"/>
          <w:i/>
          <w:iCs/>
          <w:sz w:val="24"/>
          <w:szCs w:val="24"/>
        </w:rPr>
        <w:t xml:space="preserve">Le due madri </w:t>
      </w:r>
      <w:r w:rsidRPr="00704432">
        <w:rPr>
          <w:rFonts w:cstheme="minorHAnsi"/>
          <w:sz w:val="24"/>
          <w:szCs w:val="24"/>
        </w:rPr>
        <w:t>– se si esclude il frammento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della donna seduta con in braccio il piccolo fasciato,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 xml:space="preserve">del quale esistono varie versioni – o per </w:t>
      </w:r>
      <w:r w:rsidRPr="00704432">
        <w:rPr>
          <w:rFonts w:cstheme="minorHAnsi"/>
          <w:i/>
          <w:iCs/>
          <w:sz w:val="24"/>
          <w:szCs w:val="24"/>
        </w:rPr>
        <w:t>All’ovile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non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si siano rinvenuti disegni, starebbe a dimostrare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che l’artista valutava i dipinti pienamente risolti dal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punto di vista luminista, ma resta comunque strana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l’assenza di repliche su carta, se non altro per mantenere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e diffondere la memoria di due opere cruciali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nel proprio percorso, come nel caso dei due fogli di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i/>
          <w:iCs/>
          <w:sz w:val="24"/>
          <w:szCs w:val="24"/>
        </w:rPr>
        <w:t>All’arcolaio</w:t>
      </w:r>
      <w:r w:rsidRPr="00704432">
        <w:rPr>
          <w:rFonts w:cstheme="minorHAnsi"/>
          <w:sz w:val="24"/>
          <w:szCs w:val="24"/>
        </w:rPr>
        <w:t xml:space="preserve">, predisposti per un’eventuale acquaforte. Nel </w:t>
      </w:r>
      <w:r w:rsidRPr="00704432">
        <w:rPr>
          <w:rFonts w:cstheme="minorHAnsi"/>
          <w:i/>
          <w:iCs/>
          <w:sz w:val="24"/>
          <w:szCs w:val="24"/>
        </w:rPr>
        <w:t xml:space="preserve">Catalogo generale </w:t>
      </w:r>
      <w:r w:rsidRPr="00704432">
        <w:rPr>
          <w:rFonts w:cstheme="minorHAnsi"/>
          <w:sz w:val="24"/>
          <w:szCs w:val="24"/>
        </w:rPr>
        <w:t>del 1982 avanzavo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l’ipotesi che le riprese esistessero, ma fossero andate</w:t>
      </w:r>
      <w:r>
        <w:rPr>
          <w:rFonts w:cstheme="minorHAnsi"/>
          <w:sz w:val="24"/>
          <w:szCs w:val="24"/>
        </w:rPr>
        <w:t xml:space="preserve"> </w:t>
      </w:r>
      <w:r w:rsidRPr="00704432">
        <w:rPr>
          <w:rFonts w:cstheme="minorHAnsi"/>
          <w:sz w:val="24"/>
          <w:szCs w:val="24"/>
        </w:rPr>
        <w:t>perse, e continuo a pensarlo.</w:t>
      </w:r>
    </w:p>
    <w:p w14:paraId="609B6FFE" w14:textId="4624473A" w:rsidR="00704432" w:rsidRDefault="00704432" w:rsidP="00704432">
      <w:pPr>
        <w:spacing w:after="0"/>
        <w:jc w:val="both"/>
        <w:rPr>
          <w:rFonts w:cstheme="minorHAnsi"/>
          <w:sz w:val="24"/>
          <w:szCs w:val="24"/>
        </w:rPr>
      </w:pPr>
    </w:p>
    <w:p w14:paraId="228C4E81" w14:textId="65A0F0CB" w:rsidR="008D17D8" w:rsidRDefault="000D753F" w:rsidP="000D753F">
      <w:pPr>
        <w:spacing w:after="0"/>
        <w:rPr>
          <w:rFonts w:cstheme="minorHAnsi"/>
          <w:sz w:val="24"/>
          <w:szCs w:val="24"/>
        </w:rPr>
      </w:pPr>
      <w:r w:rsidRPr="000D753F">
        <w:rPr>
          <w:rFonts w:cstheme="minorHAnsi"/>
          <w:sz w:val="24"/>
          <w:szCs w:val="24"/>
        </w:rPr>
        <w:t>St. Moritz (Svizzera), 20 maggio 2022</w:t>
      </w:r>
    </w:p>
    <w:p w14:paraId="6A427DD3" w14:textId="13E1FEF1" w:rsidR="00704432" w:rsidRDefault="00704432" w:rsidP="000D753F">
      <w:pPr>
        <w:spacing w:after="0"/>
        <w:rPr>
          <w:rFonts w:cstheme="minorHAnsi"/>
          <w:sz w:val="24"/>
          <w:szCs w:val="24"/>
        </w:rPr>
      </w:pPr>
    </w:p>
    <w:p w14:paraId="5FFE1D9E" w14:textId="14DF0EFB" w:rsidR="00704432" w:rsidRPr="00D80BFB" w:rsidRDefault="00704432" w:rsidP="000D753F">
      <w:pPr>
        <w:spacing w:after="0"/>
        <w:rPr>
          <w:rFonts w:cstheme="minorHAnsi"/>
          <w:b/>
          <w:bCs/>
          <w:sz w:val="24"/>
          <w:szCs w:val="24"/>
        </w:rPr>
      </w:pPr>
      <w:r w:rsidRPr="00D80BFB">
        <w:rPr>
          <w:rFonts w:cstheme="minorHAnsi"/>
          <w:b/>
          <w:bCs/>
          <w:sz w:val="24"/>
          <w:szCs w:val="24"/>
        </w:rPr>
        <w:t xml:space="preserve">* Estratto dal testo in catalogo </w:t>
      </w:r>
      <w:r w:rsidR="00D80BFB" w:rsidRPr="00D80BFB">
        <w:rPr>
          <w:rFonts w:cstheme="minorHAnsi"/>
          <w:b/>
          <w:bCs/>
          <w:sz w:val="24"/>
          <w:szCs w:val="24"/>
        </w:rPr>
        <w:t>Gallerie Maspes edizioni</w:t>
      </w:r>
    </w:p>
    <w:sectPr w:rsidR="00704432" w:rsidRPr="00D80BFB" w:rsidSect="00F22B70">
      <w:headerReference w:type="first" r:id="rId10"/>
      <w:footerReference w:type="first" r:id="rId11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996CF" w14:textId="77777777" w:rsidR="004F1FE7" w:rsidRDefault="004F1FE7" w:rsidP="00D16D89">
      <w:pPr>
        <w:spacing w:after="0" w:line="240" w:lineRule="auto"/>
      </w:pPr>
      <w:r>
        <w:separator/>
      </w:r>
    </w:p>
  </w:endnote>
  <w:endnote w:type="continuationSeparator" w:id="0">
    <w:p w14:paraId="272ABCF7" w14:textId="77777777" w:rsidR="004F1FE7" w:rsidRDefault="004F1FE7" w:rsidP="00D1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on">
    <w:altName w:val="Anton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E535" w14:textId="67FEBBF4" w:rsidR="00D16D89" w:rsidRPr="00891AD9" w:rsidRDefault="00891AD9" w:rsidP="00891AD9">
    <w:pPr>
      <w:pStyle w:val="Pidipagina"/>
      <w:jc w:val="center"/>
      <w:rPr>
        <w:rFonts w:ascii="Anton" w:hAnsi="Anton"/>
        <w:color w:val="808080" w:themeColor="background1" w:themeShade="80"/>
        <w:sz w:val="18"/>
        <w:szCs w:val="18"/>
      </w:rPr>
    </w:pPr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Museo Segantini St. Moritz | via </w:t>
    </w:r>
    <w:proofErr w:type="spellStart"/>
    <w:r w:rsidRPr="00891AD9">
      <w:rPr>
        <w:rFonts w:ascii="Anton" w:hAnsi="Anton"/>
        <w:color w:val="808080" w:themeColor="background1" w:themeShade="80"/>
        <w:sz w:val="18"/>
        <w:szCs w:val="18"/>
      </w:rPr>
      <w:t>Somplaz</w:t>
    </w:r>
    <w:proofErr w:type="spellEnd"/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 30 | T. 0041 (0)81 833 44 54 | info@segantini-museum.ch | www.segantini-museum.ch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9FB3" w14:textId="77777777" w:rsidR="004F1FE7" w:rsidRDefault="004F1FE7" w:rsidP="00D16D89">
      <w:pPr>
        <w:spacing w:after="0" w:line="240" w:lineRule="auto"/>
      </w:pPr>
      <w:r>
        <w:separator/>
      </w:r>
    </w:p>
  </w:footnote>
  <w:footnote w:type="continuationSeparator" w:id="0">
    <w:p w14:paraId="4E5E94C6" w14:textId="77777777" w:rsidR="004F1FE7" w:rsidRDefault="004F1FE7" w:rsidP="00D1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5B47" w14:textId="668427C4" w:rsidR="00D16D89" w:rsidRDefault="00967696" w:rsidP="00891AD9">
    <w:pPr>
      <w:pStyle w:val="Intestazione"/>
      <w:ind w:left="-993"/>
      <w:jc w:val="center"/>
    </w:pPr>
    <w:r>
      <w:object w:dxaOrig="32323" w:dyaOrig="6822" w14:anchorId="3B4BD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5pt;height:123.45pt">
          <v:imagedata r:id="rId1" o:title=""/>
        </v:shape>
        <o:OLEObject Type="Embed" ProgID="Unknown" ShapeID="_x0000_i1025" DrawAspect="Content" ObjectID="_171446541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AB"/>
    <w:rsid w:val="0001393F"/>
    <w:rsid w:val="00061315"/>
    <w:rsid w:val="000627FE"/>
    <w:rsid w:val="00086C9F"/>
    <w:rsid w:val="000943FF"/>
    <w:rsid w:val="000B0800"/>
    <w:rsid w:val="000D753F"/>
    <w:rsid w:val="000E2033"/>
    <w:rsid w:val="000E4258"/>
    <w:rsid w:val="000F35A6"/>
    <w:rsid w:val="001008AD"/>
    <w:rsid w:val="00101599"/>
    <w:rsid w:val="0010582A"/>
    <w:rsid w:val="00124E34"/>
    <w:rsid w:val="0013612A"/>
    <w:rsid w:val="00150F24"/>
    <w:rsid w:val="00176935"/>
    <w:rsid w:val="00177FBA"/>
    <w:rsid w:val="00183973"/>
    <w:rsid w:val="00196E5B"/>
    <w:rsid w:val="001A08D0"/>
    <w:rsid w:val="001D1B32"/>
    <w:rsid w:val="001E58D3"/>
    <w:rsid w:val="001E6385"/>
    <w:rsid w:val="001F0C32"/>
    <w:rsid w:val="001F5B36"/>
    <w:rsid w:val="00210D5C"/>
    <w:rsid w:val="00215817"/>
    <w:rsid w:val="00240AF3"/>
    <w:rsid w:val="00282371"/>
    <w:rsid w:val="002941A8"/>
    <w:rsid w:val="0029476B"/>
    <w:rsid w:val="002A051A"/>
    <w:rsid w:val="002C16B4"/>
    <w:rsid w:val="002D09C5"/>
    <w:rsid w:val="002F3462"/>
    <w:rsid w:val="002F4098"/>
    <w:rsid w:val="002F6F96"/>
    <w:rsid w:val="002F713C"/>
    <w:rsid w:val="00315CB9"/>
    <w:rsid w:val="00316DE3"/>
    <w:rsid w:val="00342127"/>
    <w:rsid w:val="0034376A"/>
    <w:rsid w:val="003639B2"/>
    <w:rsid w:val="00367D94"/>
    <w:rsid w:val="003701EE"/>
    <w:rsid w:val="0037438F"/>
    <w:rsid w:val="00386C06"/>
    <w:rsid w:val="003E5908"/>
    <w:rsid w:val="003F5D82"/>
    <w:rsid w:val="004049F1"/>
    <w:rsid w:val="00405934"/>
    <w:rsid w:val="00407072"/>
    <w:rsid w:val="00430041"/>
    <w:rsid w:val="0044301D"/>
    <w:rsid w:val="0044794B"/>
    <w:rsid w:val="0046426E"/>
    <w:rsid w:val="00467EF2"/>
    <w:rsid w:val="00487815"/>
    <w:rsid w:val="004921B2"/>
    <w:rsid w:val="00495EEF"/>
    <w:rsid w:val="004A58A9"/>
    <w:rsid w:val="004C0ED8"/>
    <w:rsid w:val="004E4C74"/>
    <w:rsid w:val="004E5ECF"/>
    <w:rsid w:val="004F1FE7"/>
    <w:rsid w:val="0051245B"/>
    <w:rsid w:val="00521C18"/>
    <w:rsid w:val="0053186A"/>
    <w:rsid w:val="00541467"/>
    <w:rsid w:val="0054146D"/>
    <w:rsid w:val="005B0E21"/>
    <w:rsid w:val="005B4B33"/>
    <w:rsid w:val="005B5012"/>
    <w:rsid w:val="005D161D"/>
    <w:rsid w:val="005E7453"/>
    <w:rsid w:val="005E78B6"/>
    <w:rsid w:val="00607A66"/>
    <w:rsid w:val="006106C0"/>
    <w:rsid w:val="00613FC8"/>
    <w:rsid w:val="006178D7"/>
    <w:rsid w:val="0062695D"/>
    <w:rsid w:val="00675D3E"/>
    <w:rsid w:val="0068652B"/>
    <w:rsid w:val="006B5B6D"/>
    <w:rsid w:val="006B5FE1"/>
    <w:rsid w:val="006D7DC6"/>
    <w:rsid w:val="00704432"/>
    <w:rsid w:val="00724536"/>
    <w:rsid w:val="00731154"/>
    <w:rsid w:val="0075249A"/>
    <w:rsid w:val="00766243"/>
    <w:rsid w:val="00790D7B"/>
    <w:rsid w:val="007938E8"/>
    <w:rsid w:val="007B755F"/>
    <w:rsid w:val="007D16E8"/>
    <w:rsid w:val="007D2D27"/>
    <w:rsid w:val="007D5257"/>
    <w:rsid w:val="007F60B5"/>
    <w:rsid w:val="00807BA8"/>
    <w:rsid w:val="008112C2"/>
    <w:rsid w:val="00812267"/>
    <w:rsid w:val="00812F3C"/>
    <w:rsid w:val="00814B72"/>
    <w:rsid w:val="00823C40"/>
    <w:rsid w:val="008379EC"/>
    <w:rsid w:val="008519B6"/>
    <w:rsid w:val="00875979"/>
    <w:rsid w:val="0088117B"/>
    <w:rsid w:val="00885E5F"/>
    <w:rsid w:val="008917EF"/>
    <w:rsid w:val="00891AD9"/>
    <w:rsid w:val="00892BC2"/>
    <w:rsid w:val="00892DCF"/>
    <w:rsid w:val="008A5001"/>
    <w:rsid w:val="008D17D8"/>
    <w:rsid w:val="008D7C69"/>
    <w:rsid w:val="008E6B16"/>
    <w:rsid w:val="00903889"/>
    <w:rsid w:val="009110CF"/>
    <w:rsid w:val="00930274"/>
    <w:rsid w:val="009366FB"/>
    <w:rsid w:val="00951688"/>
    <w:rsid w:val="00951B30"/>
    <w:rsid w:val="00955C78"/>
    <w:rsid w:val="00967696"/>
    <w:rsid w:val="00994BA0"/>
    <w:rsid w:val="009C146F"/>
    <w:rsid w:val="009D4E85"/>
    <w:rsid w:val="009F328A"/>
    <w:rsid w:val="00A1342C"/>
    <w:rsid w:val="00A13839"/>
    <w:rsid w:val="00A332BB"/>
    <w:rsid w:val="00A46E52"/>
    <w:rsid w:val="00A5414B"/>
    <w:rsid w:val="00A54FDA"/>
    <w:rsid w:val="00A67C30"/>
    <w:rsid w:val="00A72286"/>
    <w:rsid w:val="00A84EEE"/>
    <w:rsid w:val="00A856C4"/>
    <w:rsid w:val="00A86F31"/>
    <w:rsid w:val="00A87D18"/>
    <w:rsid w:val="00A97F39"/>
    <w:rsid w:val="00AA1E57"/>
    <w:rsid w:val="00B03586"/>
    <w:rsid w:val="00B2721B"/>
    <w:rsid w:val="00B44E97"/>
    <w:rsid w:val="00B57376"/>
    <w:rsid w:val="00B658F9"/>
    <w:rsid w:val="00B72998"/>
    <w:rsid w:val="00B74EF8"/>
    <w:rsid w:val="00B95C11"/>
    <w:rsid w:val="00BA0810"/>
    <w:rsid w:val="00BC242A"/>
    <w:rsid w:val="00BC2598"/>
    <w:rsid w:val="00BC2DAE"/>
    <w:rsid w:val="00BC3BA4"/>
    <w:rsid w:val="00BD075C"/>
    <w:rsid w:val="00BD1267"/>
    <w:rsid w:val="00BD3345"/>
    <w:rsid w:val="00BF634A"/>
    <w:rsid w:val="00BF6356"/>
    <w:rsid w:val="00BF64E9"/>
    <w:rsid w:val="00C05FC4"/>
    <w:rsid w:val="00C1433A"/>
    <w:rsid w:val="00C21EA3"/>
    <w:rsid w:val="00C2788C"/>
    <w:rsid w:val="00C500B7"/>
    <w:rsid w:val="00C55536"/>
    <w:rsid w:val="00C574B1"/>
    <w:rsid w:val="00C755CD"/>
    <w:rsid w:val="00C75F41"/>
    <w:rsid w:val="00CA2717"/>
    <w:rsid w:val="00CA3480"/>
    <w:rsid w:val="00CF1A79"/>
    <w:rsid w:val="00D04BC2"/>
    <w:rsid w:val="00D123C7"/>
    <w:rsid w:val="00D16D89"/>
    <w:rsid w:val="00D2466F"/>
    <w:rsid w:val="00D42CB2"/>
    <w:rsid w:val="00D54956"/>
    <w:rsid w:val="00D80BFB"/>
    <w:rsid w:val="00DA5EA4"/>
    <w:rsid w:val="00DB3524"/>
    <w:rsid w:val="00DB6C8C"/>
    <w:rsid w:val="00DC1A80"/>
    <w:rsid w:val="00E15382"/>
    <w:rsid w:val="00E16FB2"/>
    <w:rsid w:val="00E41060"/>
    <w:rsid w:val="00E47AAC"/>
    <w:rsid w:val="00E54C0F"/>
    <w:rsid w:val="00ED6D72"/>
    <w:rsid w:val="00EE0EB9"/>
    <w:rsid w:val="00EE1365"/>
    <w:rsid w:val="00EF0E8D"/>
    <w:rsid w:val="00F05B5E"/>
    <w:rsid w:val="00F15CA3"/>
    <w:rsid w:val="00F22B70"/>
    <w:rsid w:val="00F23992"/>
    <w:rsid w:val="00F27FC4"/>
    <w:rsid w:val="00F34A18"/>
    <w:rsid w:val="00F62058"/>
    <w:rsid w:val="00F63DA4"/>
    <w:rsid w:val="00F71E82"/>
    <w:rsid w:val="00F733CB"/>
    <w:rsid w:val="00F94D53"/>
    <w:rsid w:val="00F96FAE"/>
    <w:rsid w:val="00FA33F4"/>
    <w:rsid w:val="00FA5D6E"/>
    <w:rsid w:val="00FA7703"/>
    <w:rsid w:val="00FA7965"/>
    <w:rsid w:val="00FD490C"/>
    <w:rsid w:val="00FD6965"/>
    <w:rsid w:val="00FD744B"/>
    <w:rsid w:val="00FE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DCD7B"/>
  <w15:chartTrackingRefBased/>
  <w15:docId w15:val="{1AEF54C3-F20C-4959-B646-15B4DB7B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78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278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479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794B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D89"/>
  </w:style>
  <w:style w:type="paragraph" w:styleId="Pidipagina">
    <w:name w:val="footer"/>
    <w:basedOn w:val="Normale"/>
    <w:link w:val="Pidipagina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3" ma:contentTypeDescription="Creare un nuovo documento." ma:contentTypeScope="" ma:versionID="6040dc786b7ee15d0bc3b0abfb0afb19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33fb44bba0ea0d265d80bfa65aef7273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95116-E440-4EA8-B195-ACEA02576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045FED-11E9-47B7-BBB3-4DEB795240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8B3722-830D-466F-8D5D-63430EBB3F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E289BD-0EA9-4667-AFB5-70264A923D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1437</Words>
  <Characters>8192</Characters>
  <Application>Microsoft Office Word</Application>
  <DocSecurity>0</DocSecurity>
  <Lines>68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Quinsac</dc:creator>
  <cp:keywords/>
  <dc:description/>
  <cp:lastModifiedBy>Carlo Ghielmetti</cp:lastModifiedBy>
  <cp:revision>2</cp:revision>
  <cp:lastPrinted>2022-04-11T14:28:00Z</cp:lastPrinted>
  <dcterms:created xsi:type="dcterms:W3CDTF">2022-05-19T09:37:00Z</dcterms:created>
  <dcterms:modified xsi:type="dcterms:W3CDTF">2022-05-19T09:37:00Z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