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473A7" w14:textId="77777777" w:rsidR="00B84AE9" w:rsidRDefault="00B84AE9" w:rsidP="00797C94">
      <w:pPr>
        <w:spacing w:after="0"/>
        <w:jc w:val="center"/>
        <w:rPr>
          <w:noProof/>
        </w:rPr>
      </w:pPr>
    </w:p>
    <w:p w14:paraId="3A4BFE1A" w14:textId="5B346C88" w:rsidR="005103DA" w:rsidRDefault="00797C94" w:rsidP="00797C94">
      <w:pPr>
        <w:spacing w:after="0"/>
        <w:jc w:val="center"/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4CA67F85" wp14:editId="4CEB1F1A">
            <wp:extent cx="5501005" cy="2774475"/>
            <wp:effectExtent l="0" t="0" r="4445" b="6985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076" cy="277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FCB73" w14:textId="4692E5CB" w:rsidR="00671E7C" w:rsidRDefault="00671E7C" w:rsidP="005103DA">
      <w:pPr>
        <w:spacing w:after="0"/>
        <w:jc w:val="both"/>
        <w:rPr>
          <w:rFonts w:ascii="Garamond" w:hAnsi="Garamond" w:cs="Calibri"/>
        </w:rPr>
      </w:pPr>
    </w:p>
    <w:p w14:paraId="0C867A7C" w14:textId="77777777" w:rsidR="009435A5" w:rsidRPr="00540FF7" w:rsidRDefault="009435A5" w:rsidP="005103DA">
      <w:pPr>
        <w:spacing w:after="0"/>
        <w:jc w:val="both"/>
        <w:rPr>
          <w:rFonts w:ascii="Garamond" w:hAnsi="Garamond" w:cs="Calibri"/>
        </w:rPr>
      </w:pPr>
    </w:p>
    <w:p w14:paraId="700BB83D" w14:textId="22BD9CD2" w:rsidR="001225EF" w:rsidRPr="00540FF7" w:rsidRDefault="00F65259" w:rsidP="005103DA">
      <w:pPr>
        <w:spacing w:after="0"/>
        <w:jc w:val="both"/>
        <w:rPr>
          <w:rFonts w:ascii="Garamond" w:hAnsi="Garamond" w:cs="Calibri"/>
          <w:b/>
          <w:bCs/>
          <w:sz w:val="28"/>
          <w:szCs w:val="28"/>
        </w:rPr>
      </w:pPr>
      <w:r>
        <w:rPr>
          <w:rFonts w:ascii="Garamond" w:hAnsi="Garamond" w:cs="Calibri"/>
          <w:b/>
          <w:bCs/>
          <w:sz w:val="28"/>
          <w:szCs w:val="28"/>
        </w:rPr>
        <w:t xml:space="preserve">CLAUDIO </w:t>
      </w:r>
      <w:r w:rsidR="001C76B0">
        <w:rPr>
          <w:rFonts w:ascii="Garamond" w:hAnsi="Garamond" w:cs="Calibri"/>
          <w:b/>
          <w:bCs/>
          <w:sz w:val="28"/>
          <w:szCs w:val="28"/>
        </w:rPr>
        <w:t>STRINATI</w:t>
      </w:r>
    </w:p>
    <w:p w14:paraId="77036AB8" w14:textId="1E15A371" w:rsidR="00540FF7" w:rsidRDefault="00540FF7" w:rsidP="005103DA">
      <w:pPr>
        <w:spacing w:after="0"/>
        <w:jc w:val="both"/>
        <w:rPr>
          <w:rFonts w:ascii="Garamond" w:hAnsi="Garamond" w:cs="Calibri"/>
          <w:sz w:val="24"/>
          <w:szCs w:val="24"/>
        </w:rPr>
      </w:pPr>
    </w:p>
    <w:p w14:paraId="37398513" w14:textId="6E507B17" w:rsidR="00540FF7" w:rsidRPr="00540FF7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b/>
          <w:bCs/>
          <w:i/>
          <w:iCs/>
          <w:sz w:val="24"/>
          <w:szCs w:val="24"/>
        </w:rPr>
        <w:t xml:space="preserve">Mattioli e </w:t>
      </w:r>
      <w:proofErr w:type="gramStart"/>
      <w:r w:rsidRPr="003D4485">
        <w:rPr>
          <w:rFonts w:ascii="Garamond" w:hAnsi="Garamond" w:cs="Calibri"/>
          <w:b/>
          <w:bCs/>
          <w:i/>
          <w:iCs/>
          <w:sz w:val="24"/>
          <w:szCs w:val="24"/>
        </w:rPr>
        <w:t>Caravaggio</w:t>
      </w:r>
      <w:r>
        <w:rPr>
          <w:rFonts w:ascii="Garamond" w:hAnsi="Garamond" w:cs="Calibri"/>
          <w:b/>
          <w:bCs/>
          <w:i/>
          <w:iCs/>
          <w:sz w:val="24"/>
          <w:szCs w:val="24"/>
        </w:rPr>
        <w:t xml:space="preserve">  *</w:t>
      </w:r>
      <w:proofErr w:type="gramEnd"/>
    </w:p>
    <w:p w14:paraId="2C946D75" w14:textId="77777777" w:rsid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</w:p>
    <w:p w14:paraId="1C7E4BFD" w14:textId="4792E780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>Non si saprà mai se la Canestra di frutta del Caravaggio sia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stata acquistata o regalata al cardinale Federico Borromeo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che la tenne comunque come opera degna della più alta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considerazione.</w:t>
      </w:r>
    </w:p>
    <w:p w14:paraId="1951465B" w14:textId="3B0222E2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>E un tempo ci si stupiva: ma come il cardinale Borromeo,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uomo pio, devotissimo, amante sincero e competente delle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Belle Arti, che apprezza il lavoro di un pittore maledetto,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violento, volgare, lontanissimo dagli ideali della pietà e della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devozione?</w:t>
      </w:r>
    </w:p>
    <w:p w14:paraId="13FA5734" w14:textId="3144FECB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>Per molto tempo studiosi attenti e severi si sono posti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seriamente un quesito del genere, in larga parte basato,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però, su luoghi comuni (il pittore maledetto, per esempio)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successivamente molto ridimensionati. Poi la critica d’arte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più agguerrita e più consapevole ha cominciato a decifrare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quel quadro sensazionale e bellissimo in una chiave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completamente diversa se guardata con occhi sgombri da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pregiudizi.</w:t>
      </w:r>
    </w:p>
    <w:p w14:paraId="52588443" w14:textId="2F3BFC5D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>L’opera raffigura un cestino di frutta nella sua piena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maturazione ma, proprio per questo, appare, osservando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attentamente il quadro, già sulla soglia del degrado. Le mele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smangiucchiate da qualche insetto, l’uva sta perdendo la sua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lucentezza e il suo splendore, le foglie di vite cominciano ad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 xml:space="preserve">accartocciarsi su </w:t>
      </w:r>
      <w:proofErr w:type="gramStart"/>
      <w:r w:rsidRPr="003D4485">
        <w:rPr>
          <w:rFonts w:ascii="Garamond" w:hAnsi="Garamond" w:cs="Calibri"/>
          <w:sz w:val="24"/>
          <w:szCs w:val="24"/>
        </w:rPr>
        <w:t>se</w:t>
      </w:r>
      <w:proofErr w:type="gramEnd"/>
      <w:r w:rsidRPr="003D4485">
        <w:rPr>
          <w:rFonts w:ascii="Garamond" w:hAnsi="Garamond" w:cs="Calibri"/>
          <w:sz w:val="24"/>
          <w:szCs w:val="24"/>
        </w:rPr>
        <w:t xml:space="preserve"> stesse. è dunque, pensarono eminenti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studiosi, una allegoria inerente alla inevitabile fine delle illusioni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della gioventù. Raggiunta la piena maturità già comincia il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declino nella inarrestabile macchina del tempo che non può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fermarsi a bloccare l’attimo fuggente. Dal quadro meraviglioso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promana, però, implacabile il senso transeunte di tutte le cose.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Una interpretazione forse un po’ troppo romantica, non si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sa bene quanto coerente con la mentalità seicentesca.</w:t>
      </w:r>
    </w:p>
    <w:p w14:paraId="42064DB4" w14:textId="253A8938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>Una lettura che vede nel quadro del Caravaggio un pensiero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metafisico forse latente. E, del resto, l’evidenza geometrica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delle forme sembra anticipare la celebre sentenza di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Cézanne quando il grande pittore francese notava come le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strutture geometriche elementari del cerchio, del triangolo,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del quadrato, del rettangolo e della sfera, premano dentro le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sembianze del reale, e della frutta in sommo grado, per cui il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massimo dell’evidenza (e quindi di quello che legittimamente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 xml:space="preserve">possiamo definire il realismo) confina </w:t>
      </w:r>
      <w:r w:rsidRPr="003D4485">
        <w:rPr>
          <w:rFonts w:ascii="Garamond" w:hAnsi="Garamond" w:cs="Calibri"/>
          <w:sz w:val="24"/>
          <w:szCs w:val="24"/>
        </w:rPr>
        <w:lastRenderedPageBreak/>
        <w:t>paradossalmente con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l’astrazione e, quasi in conseguenza, con una dimensione di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purezza e di castità della visione e del pensiero.</w:t>
      </w:r>
    </w:p>
    <w:p w14:paraId="3089D027" w14:textId="726D096A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>Una sfera non è né buona né cattiva, mentre una mela dipinta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come se stesse andando a male può destare sensazioni così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di apprezzamento (per la valentia dell’artista che riproduce la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realtà con lenticolare e sublime precisione) sia di ripulsa (se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ci soffermiamo sul significato del contenuto dell’opera che ci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parla di consunzione e morte della materia e quindi di brutto).</w:t>
      </w:r>
    </w:p>
    <w:p w14:paraId="51CAA160" w14:textId="686F84FC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 xml:space="preserve">Ma ben presto, nella storia critica inerente alla </w:t>
      </w:r>
      <w:r w:rsidRPr="003D4485">
        <w:rPr>
          <w:rFonts w:ascii="Garamond" w:hAnsi="Garamond" w:cs="Calibri"/>
          <w:i/>
          <w:iCs/>
          <w:sz w:val="24"/>
          <w:szCs w:val="24"/>
        </w:rPr>
        <w:t>Fiscella</w:t>
      </w:r>
      <w:r w:rsidRPr="003D4485">
        <w:rPr>
          <w:rFonts w:ascii="Garamond" w:hAnsi="Garamond" w:cs="Calibri"/>
          <w:sz w:val="24"/>
          <w:szCs w:val="24"/>
        </w:rPr>
        <w:t>,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filologi agguerriti hanno notato come non ci siano, in verità,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testimonianze precise nelle fonti antiche che ci permettano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di conoscere sul serio il pensiero religioso del Caravaggio 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neppure la storia precisa della commissione del quadro.</w:t>
      </w:r>
    </w:p>
    <w:p w14:paraId="357596D6" w14:textId="0264E034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>Più che altro, nel corso del tempo, sono emersi dati tecnici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interessanti sull’opera che, ove ben interpretati, potrebbero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risultare utilissimi per capire qualcosa in più.</w:t>
      </w:r>
    </w:p>
    <w:p w14:paraId="7745A9E0" w14:textId="6E2B8A96" w:rsidR="009435A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>Le radiografie eseguite modernamente hanno dimostrato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che il Caravaggio usò una tela, per così dire, riciclata. Nella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lastra, infatti, si intravede una forma decorativa sottostante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 xml:space="preserve">alla stesura della </w:t>
      </w:r>
      <w:r w:rsidRPr="003D4485">
        <w:rPr>
          <w:rFonts w:ascii="Garamond" w:hAnsi="Garamond" w:cs="Calibri"/>
          <w:i/>
          <w:iCs/>
          <w:sz w:val="24"/>
          <w:szCs w:val="24"/>
        </w:rPr>
        <w:t>Fiscella</w:t>
      </w:r>
      <w:r w:rsidRPr="003D4485">
        <w:rPr>
          <w:rFonts w:ascii="Garamond" w:hAnsi="Garamond" w:cs="Calibri"/>
          <w:sz w:val="24"/>
          <w:szCs w:val="24"/>
        </w:rPr>
        <w:t>, raffigurante una specie di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“grottesca” che ha fatto pronunciare a qualcuno, e in modo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assai temerario, il nome di uno dei pittori che furono in più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stretto contatto col Caravaggio al tempo della sua giovinezza,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 xml:space="preserve">quando la </w:t>
      </w:r>
      <w:r w:rsidRPr="003D4485">
        <w:rPr>
          <w:rFonts w:ascii="Garamond" w:hAnsi="Garamond" w:cs="Calibri"/>
          <w:i/>
          <w:iCs/>
          <w:sz w:val="24"/>
          <w:szCs w:val="24"/>
        </w:rPr>
        <w:t xml:space="preserve">Fiscella </w:t>
      </w:r>
      <w:r w:rsidRPr="003D4485">
        <w:rPr>
          <w:rFonts w:ascii="Garamond" w:hAnsi="Garamond" w:cs="Calibri"/>
          <w:sz w:val="24"/>
          <w:szCs w:val="24"/>
        </w:rPr>
        <w:t>è normalmente datata, e cioè Prospero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Orsi detto Prosperino delle grottesche proprio perché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specializzato in questo genere di arte di derivazione classica.</w:t>
      </w:r>
    </w:p>
    <w:p w14:paraId="73DE3F8B" w14:textId="15B10D11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>Ma l’ipotesi è debole: Prosperino dipingeva le grottesche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quasi sempre in affresco. Un quadretto singolo recante una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grottesca, ammesso che quella strana forma che si intravede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nella lastra sia una grottesca, non rientrava nel suo modo di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lavorare.</w:t>
      </w:r>
    </w:p>
    <w:p w14:paraId="1C187E9D" w14:textId="4F722FCD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>Quindi l’idea alquanto improbabile in base alla quale il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Caravaggio avrebbe riutilizzato una tela già dipinta dal suo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amico e sodale Prosperino, non ha gran senso ed è pressoché</w:t>
      </w:r>
    </w:p>
    <w:p w14:paraId="72BE03F4" w14:textId="77777777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>indimostrabile.</w:t>
      </w:r>
    </w:p>
    <w:p w14:paraId="17707F07" w14:textId="5355F363" w:rsid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 xml:space="preserve">Tutto della </w:t>
      </w:r>
      <w:r w:rsidRPr="003D4485">
        <w:rPr>
          <w:rFonts w:ascii="Garamond" w:hAnsi="Garamond" w:cs="Calibri"/>
          <w:i/>
          <w:iCs/>
          <w:sz w:val="24"/>
          <w:szCs w:val="24"/>
        </w:rPr>
        <w:t xml:space="preserve">Fiscella </w:t>
      </w:r>
      <w:r w:rsidRPr="003D4485">
        <w:rPr>
          <w:rFonts w:ascii="Garamond" w:hAnsi="Garamond" w:cs="Calibri"/>
          <w:sz w:val="24"/>
          <w:szCs w:val="24"/>
        </w:rPr>
        <w:t>dell’Ambrosiana, del resto, è mistero.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Tranne l’evidente eccelsa qualità del dipinto.</w:t>
      </w:r>
    </w:p>
    <w:p w14:paraId="4EA3EEEB" w14:textId="5DCD4883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 xml:space="preserve">(…) </w:t>
      </w:r>
      <w:r w:rsidRPr="003D4485">
        <w:rPr>
          <w:rFonts w:ascii="Garamond" w:hAnsi="Garamond" w:cs="Calibri"/>
          <w:sz w:val="24"/>
          <w:szCs w:val="24"/>
        </w:rPr>
        <w:t xml:space="preserve">La </w:t>
      </w:r>
      <w:r w:rsidRPr="003D4485">
        <w:rPr>
          <w:rFonts w:ascii="Garamond" w:hAnsi="Garamond" w:cs="Calibri"/>
          <w:i/>
          <w:iCs/>
          <w:sz w:val="24"/>
          <w:szCs w:val="24"/>
        </w:rPr>
        <w:t xml:space="preserve">Fiscella </w:t>
      </w:r>
      <w:r w:rsidRPr="003D4485">
        <w:rPr>
          <w:rFonts w:ascii="Garamond" w:hAnsi="Garamond" w:cs="Calibri"/>
          <w:sz w:val="24"/>
          <w:szCs w:val="24"/>
        </w:rPr>
        <w:t>è dipinta come se il cestino, le frutta e le foglie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fossero ricavate dal fondo neutro su cui si stagliano.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La pittura sembra correre lungo i bordi di quel fondo compatto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e impenetrabile che non rappresenta nulla e che ognuno può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interpretare come vuole: una stanza, un giardino, un muro, il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nulla stesso.</w:t>
      </w:r>
    </w:p>
    <w:p w14:paraId="0B1CCAC9" w14:textId="2234158B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>Mattioli deve aver colto, con singolare intelligenza figurativa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e coinvolgimento emotivo, questo insondabile e ancestrale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squilibrio vigente nella sublime tela caravaggesca. Deve averci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visto lo stesso rovello tra l’acume visivo e la forza descrittiva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contro la latente sparizione, la riduzione delle immagini ad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un’essenza che confina col nulla ma resta ben ancorata alla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solidità della materia e all’impulso del sentimento più nobile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e puro.</w:t>
      </w:r>
    </w:p>
    <w:p w14:paraId="7969EF86" w14:textId="7682EA5E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 xml:space="preserve">Mattioli lavora a una serie di variazioni sul tema della </w:t>
      </w:r>
      <w:r w:rsidRPr="003D4485">
        <w:rPr>
          <w:rFonts w:ascii="Garamond" w:hAnsi="Garamond" w:cs="Calibri"/>
          <w:i/>
          <w:iCs/>
          <w:sz w:val="24"/>
          <w:szCs w:val="24"/>
        </w:rPr>
        <w:t>Fiscella</w:t>
      </w:r>
      <w:r>
        <w:rPr>
          <w:rFonts w:ascii="Garamond" w:hAnsi="Garamond" w:cs="Calibri"/>
          <w:i/>
          <w:iCs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con una acribia, una energia e una disperazione incombente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che, per certi versi, ricordano il coevo esercizio furioso di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 xml:space="preserve">Francis Bacon sul </w:t>
      </w:r>
      <w:r w:rsidRPr="003D4485">
        <w:rPr>
          <w:rFonts w:ascii="Garamond" w:hAnsi="Garamond" w:cs="Calibri"/>
          <w:i/>
          <w:iCs/>
          <w:sz w:val="24"/>
          <w:szCs w:val="24"/>
        </w:rPr>
        <w:t xml:space="preserve">Ritratto di Innocenzo </w:t>
      </w:r>
      <w:r w:rsidRPr="003D4485">
        <w:rPr>
          <w:rFonts w:ascii="Garamond" w:hAnsi="Garamond" w:cs="Calibri"/>
          <w:sz w:val="24"/>
          <w:szCs w:val="24"/>
        </w:rPr>
        <w:t>X di Velasquez.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Nulla di più lontano tra un demone visivo come Bacon e un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asceta inquieto come Mattioli.</w:t>
      </w:r>
    </w:p>
    <w:p w14:paraId="61EACA1F" w14:textId="1808C9F6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>Però il culto concretissimo di una materia astraente 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grumosa, che contiene in sé la negazione e l’affermazione, è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stato praticato da entrambi gli artisti, quasi coetanei, sia pur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su direzioni opposte.</w:t>
      </w:r>
    </w:p>
    <w:p w14:paraId="0A38CF29" w14:textId="3838DAC4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>Bacon urla, Mattioli sprofonda nel silenzio. Estrae dalla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i/>
          <w:iCs/>
          <w:sz w:val="24"/>
          <w:szCs w:val="24"/>
        </w:rPr>
        <w:t xml:space="preserve">Fiscella </w:t>
      </w:r>
      <w:r w:rsidRPr="003D4485">
        <w:rPr>
          <w:rFonts w:ascii="Garamond" w:hAnsi="Garamond" w:cs="Calibri"/>
          <w:sz w:val="24"/>
          <w:szCs w:val="24"/>
        </w:rPr>
        <w:t>singoli dettagli fino ad arrivare ad una vera e propria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spoliazione dell’opera di partenza, come è stato sempre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notato nella esegesi sul suo lavoro.</w:t>
      </w:r>
    </w:p>
    <w:p w14:paraId="30B5C0AE" w14:textId="7618A3A8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 xml:space="preserve">Frutti percepiti espulsi dalla </w:t>
      </w:r>
      <w:r w:rsidRPr="003D4485">
        <w:rPr>
          <w:rFonts w:ascii="Garamond" w:hAnsi="Garamond" w:cs="Calibri"/>
          <w:i/>
          <w:iCs/>
          <w:sz w:val="24"/>
          <w:szCs w:val="24"/>
        </w:rPr>
        <w:t xml:space="preserve">Fiscella </w:t>
      </w:r>
      <w:r w:rsidRPr="003D4485">
        <w:rPr>
          <w:rFonts w:ascii="Garamond" w:hAnsi="Garamond" w:cs="Calibri"/>
          <w:sz w:val="24"/>
          <w:szCs w:val="24"/>
        </w:rPr>
        <w:t>cominciano a gravitare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nell’aria, quasi pianeti di un microsistema cosmico che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si perdono nello spazio remoto e inattingibile mentre ne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seguiamo il tragitto.</w:t>
      </w:r>
    </w:p>
    <w:p w14:paraId="684B51A4" w14:textId="71A99FAA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lastRenderedPageBreak/>
        <w:t>È</w:t>
      </w:r>
      <w:r w:rsidRPr="003D4485">
        <w:rPr>
          <w:rFonts w:ascii="Garamond" w:hAnsi="Garamond" w:cs="Calibri"/>
          <w:sz w:val="24"/>
          <w:szCs w:val="24"/>
        </w:rPr>
        <w:t xml:space="preserve"> ben noto, del resto, che Mattioli è stato sempre 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giustamente considerato un vero e proprio poeta della pittura.</w:t>
      </w:r>
    </w:p>
    <w:p w14:paraId="700AF03C" w14:textId="76DDD746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 xml:space="preserve">E questi suoi quadri desunti dalla </w:t>
      </w:r>
      <w:r w:rsidRPr="003D4485">
        <w:rPr>
          <w:rFonts w:ascii="Garamond" w:hAnsi="Garamond" w:cs="Calibri"/>
          <w:i/>
          <w:iCs/>
          <w:sz w:val="24"/>
          <w:szCs w:val="24"/>
        </w:rPr>
        <w:t xml:space="preserve">Fiscella </w:t>
      </w:r>
      <w:r w:rsidRPr="003D4485">
        <w:rPr>
          <w:rFonts w:ascii="Garamond" w:hAnsi="Garamond" w:cs="Calibri"/>
          <w:sz w:val="24"/>
          <w:szCs w:val="24"/>
        </w:rPr>
        <w:t>sono veramente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altrettante poesie, più simili all’Haiku giapponese, certo, che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al poema epico.</w:t>
      </w:r>
    </w:p>
    <w:p w14:paraId="47C7853E" w14:textId="2D0BBB48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>Sono frammenti ricavati da frammenti, impulsi leggerissimi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e potenti, grumi rotanti di materia che hanno perso la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loro configurazione originaria, se mai esistette, e stanno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scomparendo in un tutto che confina col nulla.</w:t>
      </w:r>
    </w:p>
    <w:p w14:paraId="44FA3405" w14:textId="0C2B2399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>È vero che non sapremo mai quale fosse il pensiero religioso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del Caravaggio ma neppure potremo costringere Mattioli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a pensarla come vogliamo noi e anche in lui un margine di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mistero e di impossibilità ad andare oltre, resta per sempre.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Ma è appunto questo che lo collega, oltre il tempo e oltre lo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spazio, al medianico quadro del Caravaggio.</w:t>
      </w:r>
    </w:p>
    <w:p w14:paraId="2A42B52A" w14:textId="5752DDF4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 xml:space="preserve">Scrutando i singoli quadri tratti dalla </w:t>
      </w:r>
      <w:r w:rsidRPr="003D4485">
        <w:rPr>
          <w:rFonts w:ascii="Garamond" w:hAnsi="Garamond" w:cs="Calibri"/>
          <w:i/>
          <w:iCs/>
          <w:sz w:val="24"/>
          <w:szCs w:val="24"/>
        </w:rPr>
        <w:t xml:space="preserve">Fiscella </w:t>
      </w:r>
      <w:r w:rsidRPr="003D4485">
        <w:rPr>
          <w:rFonts w:ascii="Garamond" w:hAnsi="Garamond" w:cs="Calibri"/>
          <w:sz w:val="24"/>
          <w:szCs w:val="24"/>
        </w:rPr>
        <w:t>viene da pensare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come Mattioli, meditando sul Caravaggio, avesse visto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ritratto sé stesso in quella immagine di nitore, intelligenza,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malinconia, e rimpianto, tutti elementi adombrati nella poetica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caravaggesca con una forza di convincimento che ancora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adesso fa quasi paura.</w:t>
      </w:r>
    </w:p>
    <w:p w14:paraId="5DED300C" w14:textId="22FAC782" w:rsidR="003D4485" w:rsidRP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>E non si può escludere che il fuoco di fila cromatico di Mattioli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a seguito della metaforica deflagrazione visiva della sua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indagine sul Caravaggio, resti carico di un analogo sentimento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di sconcerto, di timore, di preoccupazione, che rende l’arte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bellissima anche quando l’essere umano si accinge a farla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con incerta titubanza.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Mattioli era certissimo nella sua creatività.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E in questo ciclo di opere “caravaggesche” ci ha consegnato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un retaggio commovente che non cessa di coinvolgere e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accompagnare chi osserva, come se i dipinti di Mattioli fossero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nati nell’istante stesso in cui ci accingiamo a osservarli.</w:t>
      </w:r>
    </w:p>
    <w:p w14:paraId="3644D054" w14:textId="0222235D" w:rsid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3D4485">
        <w:rPr>
          <w:rFonts w:ascii="Garamond" w:hAnsi="Garamond" w:cs="Calibri"/>
          <w:sz w:val="24"/>
          <w:szCs w:val="24"/>
        </w:rPr>
        <w:t>E per il Caravaggio sembra che sia successa quasi la stessa</w:t>
      </w:r>
      <w:r>
        <w:rPr>
          <w:rFonts w:ascii="Garamond" w:hAnsi="Garamond" w:cs="Calibri"/>
          <w:sz w:val="24"/>
          <w:szCs w:val="24"/>
        </w:rPr>
        <w:t xml:space="preserve"> </w:t>
      </w:r>
      <w:r w:rsidRPr="003D4485">
        <w:rPr>
          <w:rFonts w:ascii="Garamond" w:hAnsi="Garamond" w:cs="Calibri"/>
          <w:sz w:val="24"/>
          <w:szCs w:val="24"/>
        </w:rPr>
        <w:t>cosa.</w:t>
      </w:r>
    </w:p>
    <w:p w14:paraId="72B3505E" w14:textId="77777777" w:rsidR="003D4485" w:rsidRPr="009435A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</w:p>
    <w:p w14:paraId="735A6E66" w14:textId="641F1F15" w:rsidR="00540FF7" w:rsidRDefault="00540FF7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9435A5">
        <w:rPr>
          <w:rFonts w:ascii="Garamond" w:hAnsi="Garamond" w:cs="Calibri"/>
          <w:sz w:val="24"/>
          <w:szCs w:val="24"/>
        </w:rPr>
        <w:t>Milano, 6 maggio 2022</w:t>
      </w:r>
    </w:p>
    <w:p w14:paraId="18F85FFE" w14:textId="0B875451" w:rsidR="003D4485" w:rsidRDefault="003D4485" w:rsidP="003D4485">
      <w:pPr>
        <w:spacing w:after="0"/>
        <w:jc w:val="both"/>
        <w:rPr>
          <w:rFonts w:ascii="Garamond" w:hAnsi="Garamond" w:cs="Calibri"/>
          <w:sz w:val="24"/>
          <w:szCs w:val="24"/>
        </w:rPr>
      </w:pPr>
    </w:p>
    <w:p w14:paraId="61BA4E03" w14:textId="752DDE23" w:rsidR="003D4485" w:rsidRPr="003D4485" w:rsidRDefault="003D4485" w:rsidP="003D4485">
      <w:pPr>
        <w:spacing w:after="0"/>
        <w:jc w:val="both"/>
        <w:rPr>
          <w:rFonts w:ascii="Garamond" w:hAnsi="Garamond" w:cs="Calibri"/>
          <w:b/>
          <w:bCs/>
          <w:sz w:val="24"/>
          <w:szCs w:val="24"/>
        </w:rPr>
      </w:pPr>
      <w:r w:rsidRPr="003D4485">
        <w:rPr>
          <w:rFonts w:ascii="Garamond" w:hAnsi="Garamond" w:cs="Calibri"/>
          <w:b/>
          <w:bCs/>
          <w:sz w:val="24"/>
          <w:szCs w:val="24"/>
        </w:rPr>
        <w:t xml:space="preserve">* Estratto dal testo in catalogo </w:t>
      </w:r>
      <w:proofErr w:type="spellStart"/>
      <w:r w:rsidRPr="003D4485">
        <w:rPr>
          <w:rFonts w:ascii="Garamond" w:hAnsi="Garamond" w:cs="Calibri"/>
          <w:b/>
          <w:bCs/>
          <w:sz w:val="24"/>
          <w:szCs w:val="24"/>
        </w:rPr>
        <w:t>Tacuino</w:t>
      </w:r>
      <w:proofErr w:type="spellEnd"/>
    </w:p>
    <w:sectPr w:rsidR="003D4485" w:rsidRPr="003D4485" w:rsidSect="00540FF7">
      <w:headerReference w:type="default" r:id="rId11"/>
      <w:headerReference w:type="first" r:id="rId12"/>
      <w:pgSz w:w="11906" w:h="16838"/>
      <w:pgMar w:top="269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D3B63" w14:textId="77777777" w:rsidR="00C90E7C" w:rsidRDefault="00C90E7C" w:rsidP="00B84AE9">
      <w:pPr>
        <w:spacing w:after="0" w:line="240" w:lineRule="auto"/>
      </w:pPr>
      <w:r>
        <w:separator/>
      </w:r>
    </w:p>
  </w:endnote>
  <w:endnote w:type="continuationSeparator" w:id="0">
    <w:p w14:paraId="42938B21" w14:textId="77777777" w:rsidR="00C90E7C" w:rsidRDefault="00C90E7C" w:rsidP="00B84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23F29" w14:textId="77777777" w:rsidR="00C90E7C" w:rsidRDefault="00C90E7C" w:rsidP="00B84AE9">
      <w:pPr>
        <w:spacing w:after="0" w:line="240" w:lineRule="auto"/>
      </w:pPr>
      <w:r>
        <w:separator/>
      </w:r>
    </w:p>
  </w:footnote>
  <w:footnote w:type="continuationSeparator" w:id="0">
    <w:p w14:paraId="0C216C3B" w14:textId="77777777" w:rsidR="00C90E7C" w:rsidRDefault="00C90E7C" w:rsidP="00B84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ED99D" w14:textId="2146A447" w:rsidR="00B84AE9" w:rsidRDefault="00B84AE9" w:rsidP="00B84AE9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573FC" w14:textId="2E18F755" w:rsidR="00540FF7" w:rsidRDefault="00540FF7" w:rsidP="00540FF7">
    <w:pPr>
      <w:pStyle w:val="Intestazione"/>
      <w:jc w:val="center"/>
    </w:pPr>
    <w:r w:rsidRPr="00016F46">
      <w:rPr>
        <w:noProof/>
      </w:rPr>
      <w:drawing>
        <wp:inline distT="0" distB="0" distL="0" distR="0" wp14:anchorId="0ED552EC" wp14:editId="28DACF73">
          <wp:extent cx="1515818" cy="1028700"/>
          <wp:effectExtent l="0" t="0" r="8255" b="0"/>
          <wp:docPr id="14" name="Immagine 14" descr="mai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in_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520" r="20566"/>
                  <a:stretch/>
                </pic:blipFill>
                <pic:spPr bwMode="auto">
                  <a:xfrm>
                    <a:off x="0" y="0"/>
                    <a:ext cx="1529720" cy="103813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3DA"/>
    <w:rsid w:val="00013CFF"/>
    <w:rsid w:val="00070834"/>
    <w:rsid w:val="0007272C"/>
    <w:rsid w:val="000945C9"/>
    <w:rsid w:val="000B0365"/>
    <w:rsid w:val="00102A53"/>
    <w:rsid w:val="001225EF"/>
    <w:rsid w:val="001B5654"/>
    <w:rsid w:val="001C5377"/>
    <w:rsid w:val="001C76B0"/>
    <w:rsid w:val="002B0020"/>
    <w:rsid w:val="002C06F2"/>
    <w:rsid w:val="00350C3C"/>
    <w:rsid w:val="003616C6"/>
    <w:rsid w:val="0037364C"/>
    <w:rsid w:val="003D4485"/>
    <w:rsid w:val="003D5B05"/>
    <w:rsid w:val="003E21A8"/>
    <w:rsid w:val="003F6BD5"/>
    <w:rsid w:val="00406EA9"/>
    <w:rsid w:val="0049248F"/>
    <w:rsid w:val="004D1AD0"/>
    <w:rsid w:val="005103DA"/>
    <w:rsid w:val="00513CED"/>
    <w:rsid w:val="00540FF7"/>
    <w:rsid w:val="005B117D"/>
    <w:rsid w:val="005B653B"/>
    <w:rsid w:val="005C1721"/>
    <w:rsid w:val="005F06F6"/>
    <w:rsid w:val="00640DBA"/>
    <w:rsid w:val="00671E7C"/>
    <w:rsid w:val="00672DFF"/>
    <w:rsid w:val="006B617A"/>
    <w:rsid w:val="006D7D14"/>
    <w:rsid w:val="00744320"/>
    <w:rsid w:val="007734DC"/>
    <w:rsid w:val="00783B36"/>
    <w:rsid w:val="00797C94"/>
    <w:rsid w:val="00815828"/>
    <w:rsid w:val="00852BD3"/>
    <w:rsid w:val="008B68B2"/>
    <w:rsid w:val="008C28DB"/>
    <w:rsid w:val="00912555"/>
    <w:rsid w:val="00927EA6"/>
    <w:rsid w:val="009435A5"/>
    <w:rsid w:val="009936DC"/>
    <w:rsid w:val="00A0195F"/>
    <w:rsid w:val="00A04B87"/>
    <w:rsid w:val="00A56015"/>
    <w:rsid w:val="00A575D1"/>
    <w:rsid w:val="00A669B6"/>
    <w:rsid w:val="00A863DC"/>
    <w:rsid w:val="00AD20E4"/>
    <w:rsid w:val="00B26C96"/>
    <w:rsid w:val="00B276B0"/>
    <w:rsid w:val="00B84AE9"/>
    <w:rsid w:val="00BD3943"/>
    <w:rsid w:val="00C03C7E"/>
    <w:rsid w:val="00C5188F"/>
    <w:rsid w:val="00C86944"/>
    <w:rsid w:val="00C90E7C"/>
    <w:rsid w:val="00D03C98"/>
    <w:rsid w:val="00D46447"/>
    <w:rsid w:val="00D754FC"/>
    <w:rsid w:val="00D85F66"/>
    <w:rsid w:val="00DD6E4D"/>
    <w:rsid w:val="00DE3E07"/>
    <w:rsid w:val="00DF4E14"/>
    <w:rsid w:val="00E205D2"/>
    <w:rsid w:val="00E57B04"/>
    <w:rsid w:val="00EA17F1"/>
    <w:rsid w:val="00ED74B4"/>
    <w:rsid w:val="00EF49D2"/>
    <w:rsid w:val="00F05948"/>
    <w:rsid w:val="00F10F98"/>
    <w:rsid w:val="00F400F5"/>
    <w:rsid w:val="00F65259"/>
    <w:rsid w:val="00F848A2"/>
    <w:rsid w:val="00F84AB6"/>
    <w:rsid w:val="00FA42DE"/>
    <w:rsid w:val="00FB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F0CE5B"/>
  <w15:chartTrackingRefBased/>
  <w15:docId w15:val="{E45BE745-FC1A-4496-9751-DE3A9FB4D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1E7C"/>
    <w:pPr>
      <w:spacing w:after="160" w:line="259" w:lineRule="auto"/>
    </w:pPr>
  </w:style>
  <w:style w:type="paragraph" w:styleId="Titolo2">
    <w:name w:val="heading 2"/>
    <w:basedOn w:val="Normale"/>
    <w:link w:val="Titolo2Carattere"/>
    <w:uiPriority w:val="9"/>
    <w:qFormat/>
    <w:rsid w:val="002C06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103D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02A53"/>
    <w:rPr>
      <w:color w:val="605E5C"/>
      <w:shd w:val="clear" w:color="auto" w:fill="E1DFDD"/>
    </w:rPr>
  </w:style>
  <w:style w:type="character" w:customStyle="1" w:styleId="tojvnm2t">
    <w:name w:val="tojvnm2t"/>
    <w:basedOn w:val="Carpredefinitoparagrafo"/>
    <w:rsid w:val="00A56015"/>
  </w:style>
  <w:style w:type="character" w:customStyle="1" w:styleId="rfua0xdk">
    <w:name w:val="rfua0xdk"/>
    <w:basedOn w:val="Carpredefinitoparagrafo"/>
    <w:rsid w:val="00A56015"/>
  </w:style>
  <w:style w:type="character" w:customStyle="1" w:styleId="Titolo2Carattere">
    <w:name w:val="Titolo 2 Carattere"/>
    <w:basedOn w:val="Carpredefinitoparagrafo"/>
    <w:link w:val="Titolo2"/>
    <w:uiPriority w:val="9"/>
    <w:rsid w:val="002C06F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C03C7E"/>
    <w:pPr>
      <w:spacing w:before="100" w:beforeAutospacing="1" w:after="100" w:afterAutospacing="1" w:line="240" w:lineRule="auto"/>
    </w:pPr>
    <w:rPr>
      <w:rFonts w:ascii="Calibri" w:hAnsi="Calibri" w:cs="Calibri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84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4AE9"/>
  </w:style>
  <w:style w:type="paragraph" w:styleId="Pidipagina">
    <w:name w:val="footer"/>
    <w:basedOn w:val="Normale"/>
    <w:link w:val="PidipaginaCarattere"/>
    <w:uiPriority w:val="99"/>
    <w:unhideWhenUsed/>
    <w:rsid w:val="00B84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4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2C851D-462F-407F-A317-1A92F3833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72E9F7-77EF-41AF-AB57-9E12EF1BC4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A82B84-EA41-4CDB-B782-445C9062C8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455A7-2F9D-4671-AF82-4544128311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Defrancesco</dc:creator>
  <cp:keywords/>
  <dc:description/>
  <cp:lastModifiedBy>Carlo Ghielmetti</cp:lastModifiedBy>
  <cp:revision>4</cp:revision>
  <cp:lastPrinted>2022-04-21T14:36:00Z</cp:lastPrinted>
  <dcterms:created xsi:type="dcterms:W3CDTF">2022-05-04T15:10:00Z</dcterms:created>
  <dcterms:modified xsi:type="dcterms:W3CDTF">2022-05-04T15:21:00Z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