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823"/>
        <w:gridCol w:w="4815"/>
      </w:tblGrid>
      <w:tr w:rsidR="00770AAC" w:rsidRPr="00393031" w14:paraId="3EE19EBC" w14:textId="77777777" w:rsidTr="00770AAC">
        <w:tc>
          <w:tcPr>
            <w:tcW w:w="4823" w:type="dxa"/>
            <w:shd w:val="clear" w:color="auto" w:fill="auto"/>
            <w:vAlign w:val="center"/>
          </w:tcPr>
          <w:p w14:paraId="475EE5C6" w14:textId="5EC27FAD" w:rsidR="00770AAC" w:rsidRPr="00393031" w:rsidRDefault="00770AAC" w:rsidP="00E16CA3">
            <w:pPr>
              <w:spacing w:after="0"/>
              <w:rPr>
                <w:b/>
                <w:sz w:val="28"/>
              </w:rPr>
            </w:pPr>
            <w:r w:rsidRPr="00393031">
              <w:rPr>
                <w:b/>
                <w:noProof/>
                <w:sz w:val="28"/>
              </w:rPr>
              <w:drawing>
                <wp:inline distT="0" distB="0" distL="0" distR="0" wp14:anchorId="45414C33" wp14:editId="673B0883">
                  <wp:extent cx="914400" cy="751840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51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  <w:shd w:val="clear" w:color="auto" w:fill="auto"/>
            <w:vAlign w:val="center"/>
          </w:tcPr>
          <w:p w14:paraId="1EA1C3CF" w14:textId="031E6025" w:rsidR="00770AAC" w:rsidRPr="00393031" w:rsidRDefault="00770AAC" w:rsidP="00E16CA3">
            <w:pPr>
              <w:spacing w:after="0"/>
              <w:jc w:val="right"/>
              <w:rPr>
                <w:b/>
                <w:sz w:val="28"/>
              </w:rPr>
            </w:pPr>
            <w:r w:rsidRPr="00393031">
              <w:rPr>
                <w:b/>
                <w:noProof/>
                <w:sz w:val="28"/>
              </w:rPr>
              <w:drawing>
                <wp:inline distT="0" distB="0" distL="0" distR="0" wp14:anchorId="751525FA" wp14:editId="6FB80ED8">
                  <wp:extent cx="670560" cy="706120"/>
                  <wp:effectExtent l="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70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07547E" w14:textId="15EE7B3C" w:rsidR="00770AAC" w:rsidRDefault="00770AAC" w:rsidP="00770AAC">
      <w:pPr>
        <w:pStyle w:val="Nessunaspaziatura"/>
        <w:rPr>
          <w:rFonts w:cstheme="minorHAnsi"/>
          <w:bCs/>
          <w:color w:val="1D1D1B"/>
          <w:sz w:val="24"/>
          <w:szCs w:val="24"/>
        </w:rPr>
      </w:pPr>
    </w:p>
    <w:p w14:paraId="78FA6284" w14:textId="77777777" w:rsidR="00B52810" w:rsidRDefault="00B52810" w:rsidP="00770AAC">
      <w:pPr>
        <w:pStyle w:val="Nessunaspaziatura"/>
        <w:rPr>
          <w:rFonts w:cstheme="minorHAnsi"/>
          <w:bCs/>
          <w:color w:val="1D1D1B"/>
          <w:sz w:val="24"/>
          <w:szCs w:val="24"/>
        </w:rPr>
      </w:pPr>
    </w:p>
    <w:p w14:paraId="28658294" w14:textId="25BF3682" w:rsidR="00B52810" w:rsidRPr="00B52810" w:rsidRDefault="00A876D3" w:rsidP="00B52810">
      <w:pPr>
        <w:pStyle w:val="Nessunaspaziatura"/>
        <w:rPr>
          <w:rFonts w:cstheme="minorHAnsi"/>
          <w:b/>
          <w:bCs/>
          <w:color w:val="1D1D1B"/>
          <w:sz w:val="28"/>
          <w:szCs w:val="28"/>
        </w:rPr>
      </w:pPr>
      <w:r>
        <w:rPr>
          <w:rFonts w:cstheme="minorHAnsi"/>
          <w:b/>
          <w:bCs/>
          <w:color w:val="1D1D1B"/>
          <w:sz w:val="28"/>
          <w:szCs w:val="28"/>
        </w:rPr>
        <w:t>MICOL FORTI</w:t>
      </w:r>
    </w:p>
    <w:p w14:paraId="5B00CDBE" w14:textId="091D7298" w:rsidR="00770AAC" w:rsidRPr="00770AAC" w:rsidRDefault="00A876D3" w:rsidP="00A876D3">
      <w:pPr>
        <w:pStyle w:val="Nessunaspaziatura"/>
        <w:rPr>
          <w:rFonts w:cstheme="minorHAnsi"/>
          <w:b/>
          <w:bCs/>
          <w:color w:val="1D1D1B"/>
          <w:sz w:val="24"/>
          <w:szCs w:val="24"/>
        </w:rPr>
      </w:pPr>
      <w:r w:rsidRPr="00A876D3">
        <w:rPr>
          <w:rFonts w:cstheme="minorHAnsi"/>
          <w:b/>
          <w:bCs/>
          <w:color w:val="1D1D1B"/>
          <w:sz w:val="28"/>
          <w:szCs w:val="28"/>
        </w:rPr>
        <w:t>Curatore della Collezione d’Arte Moderna e Contemporanea</w:t>
      </w:r>
      <w:r>
        <w:rPr>
          <w:rFonts w:cstheme="minorHAnsi"/>
          <w:b/>
          <w:bCs/>
          <w:color w:val="1D1D1B"/>
          <w:sz w:val="28"/>
          <w:szCs w:val="28"/>
        </w:rPr>
        <w:t xml:space="preserve"> </w:t>
      </w:r>
      <w:r w:rsidRPr="00A876D3">
        <w:rPr>
          <w:rFonts w:cstheme="minorHAnsi"/>
          <w:b/>
          <w:bCs/>
          <w:color w:val="1D1D1B"/>
          <w:sz w:val="28"/>
          <w:szCs w:val="28"/>
        </w:rPr>
        <w:t>dei Musei Vaticani</w:t>
      </w:r>
    </w:p>
    <w:p w14:paraId="72EA6717" w14:textId="38A26B39" w:rsidR="00D847E1" w:rsidRDefault="00D847E1" w:rsidP="00770AAC">
      <w:pPr>
        <w:pStyle w:val="Nessunaspaziatura"/>
        <w:rPr>
          <w:rFonts w:cstheme="minorHAnsi"/>
          <w:color w:val="1D1D1B"/>
          <w:sz w:val="24"/>
          <w:szCs w:val="24"/>
        </w:rPr>
      </w:pPr>
    </w:p>
    <w:p w14:paraId="49F83A8E" w14:textId="7718AFD7" w:rsidR="00B52810" w:rsidRPr="00A876D3" w:rsidRDefault="00A876D3" w:rsidP="00A876D3">
      <w:pPr>
        <w:pStyle w:val="Nessunaspaziatura"/>
        <w:rPr>
          <w:rFonts w:cstheme="minorHAnsi"/>
          <w:i/>
          <w:iCs/>
          <w:color w:val="1D1D1B"/>
          <w:sz w:val="24"/>
          <w:szCs w:val="24"/>
        </w:rPr>
      </w:pPr>
      <w:r w:rsidRPr="00A876D3">
        <w:rPr>
          <w:rFonts w:cstheme="minorHAnsi"/>
          <w:i/>
          <w:iCs/>
          <w:color w:val="1D1D1B"/>
          <w:sz w:val="28"/>
          <w:szCs w:val="28"/>
        </w:rPr>
        <w:t>“Oltre l’umano autentico, il religioso, il divino,</w:t>
      </w:r>
      <w:r w:rsidRPr="00F86933">
        <w:rPr>
          <w:rFonts w:cstheme="minorHAnsi"/>
          <w:i/>
          <w:iCs/>
          <w:color w:val="1D1D1B"/>
          <w:sz w:val="28"/>
          <w:szCs w:val="28"/>
        </w:rPr>
        <w:t xml:space="preserve"> </w:t>
      </w:r>
      <w:r w:rsidRPr="00A876D3">
        <w:rPr>
          <w:rFonts w:cstheme="minorHAnsi"/>
          <w:i/>
          <w:iCs/>
          <w:color w:val="1D1D1B"/>
          <w:sz w:val="28"/>
          <w:szCs w:val="28"/>
        </w:rPr>
        <w:t>il cristiano”: dialogo tra Chiesa e arte sacra</w:t>
      </w:r>
      <w:r w:rsidRPr="00F86933">
        <w:rPr>
          <w:rFonts w:cstheme="minorHAnsi"/>
          <w:i/>
          <w:iCs/>
          <w:color w:val="1D1D1B"/>
          <w:sz w:val="28"/>
          <w:szCs w:val="28"/>
        </w:rPr>
        <w:t xml:space="preserve"> </w:t>
      </w:r>
      <w:r w:rsidRPr="00F86933">
        <w:rPr>
          <w:rFonts w:cstheme="minorHAnsi"/>
          <w:i/>
          <w:iCs/>
          <w:color w:val="1D1D1B"/>
          <w:sz w:val="28"/>
          <w:szCs w:val="28"/>
        </w:rPr>
        <w:t>in Italia nel Novecento</w:t>
      </w:r>
      <w:r w:rsidRPr="00F86933">
        <w:rPr>
          <w:rFonts w:cstheme="minorHAnsi"/>
          <w:i/>
          <w:iCs/>
          <w:color w:val="1D1D1B"/>
          <w:sz w:val="28"/>
          <w:szCs w:val="28"/>
        </w:rPr>
        <w:t xml:space="preserve">.  </w:t>
      </w:r>
      <w:r w:rsidRPr="00A876D3">
        <w:rPr>
          <w:rFonts w:cstheme="minorHAnsi"/>
          <w:b/>
          <w:bCs/>
          <w:color w:val="1D1D1B"/>
          <w:sz w:val="28"/>
          <w:szCs w:val="28"/>
        </w:rPr>
        <w:t>*</w:t>
      </w:r>
    </w:p>
    <w:p w14:paraId="59290AD0" w14:textId="77777777" w:rsidR="00A876D3" w:rsidRDefault="00A876D3" w:rsidP="000165B6">
      <w:pPr>
        <w:pStyle w:val="Nessunaspaziatura"/>
        <w:spacing w:after="120"/>
        <w:jc w:val="both"/>
        <w:rPr>
          <w:rFonts w:cstheme="minorHAnsi"/>
          <w:color w:val="1D1D1B"/>
          <w:sz w:val="24"/>
          <w:szCs w:val="24"/>
        </w:rPr>
      </w:pPr>
    </w:p>
    <w:p w14:paraId="4CCA75FC" w14:textId="5FD6A75A" w:rsidR="00A876D3" w:rsidRPr="00A876D3" w:rsidRDefault="00A876D3" w:rsidP="00A876D3">
      <w:pPr>
        <w:pStyle w:val="Nessunaspaziatura"/>
        <w:spacing w:after="120"/>
        <w:jc w:val="both"/>
        <w:rPr>
          <w:rFonts w:cstheme="minorHAnsi"/>
          <w:color w:val="1D1D1B"/>
          <w:sz w:val="24"/>
          <w:szCs w:val="24"/>
        </w:rPr>
      </w:pPr>
      <w:r w:rsidRPr="00A876D3">
        <w:rPr>
          <w:rFonts w:cstheme="minorHAnsi"/>
          <w:color w:val="1D1D1B"/>
          <w:sz w:val="24"/>
          <w:szCs w:val="24"/>
        </w:rPr>
        <w:t>È stato un cammino tortuoso e accidentato quello percorso dall’arte italiana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del XX secolo nel suo dialogo con la Chiesa, la religione e il sacro. Approssimazioni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e reciproche diffidenze, immobilismo nel nome della “tradizione”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e sperimentazioni autoreferenziali in nome dell’“innovazione”, sono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i poli estremi intorno ai quali ruota una relazione storicamente complessa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che, nella spericolata parabola del secolo scorso, ha vissuto un’intensa stagione,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formulando dubbi e domande alla luce dei radicali cambiamenti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storici e sociali. Le tante sfaccettature di cui si compone questa impegnativa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relazione testimoniano certo il radicarsi di quello che viene emblematicamente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definito come un “divorzio” tra arte e Chiesa, ma parallelamente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rendono conto di quanto fosse necessario affrontare e mantenere vivo il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fuoco di questo dialogo.</w:t>
      </w:r>
    </w:p>
    <w:p w14:paraId="3F2C9E4E" w14:textId="1D38221F" w:rsidR="00A876D3" w:rsidRPr="00A876D3" w:rsidRDefault="00A876D3" w:rsidP="00A876D3">
      <w:pPr>
        <w:pStyle w:val="Nessunaspaziatura"/>
        <w:spacing w:after="120"/>
        <w:jc w:val="both"/>
        <w:rPr>
          <w:rFonts w:cstheme="minorHAnsi"/>
          <w:color w:val="1D1D1B"/>
          <w:sz w:val="24"/>
          <w:szCs w:val="24"/>
        </w:rPr>
      </w:pPr>
      <w:r w:rsidRPr="00A876D3">
        <w:rPr>
          <w:rFonts w:cstheme="minorHAnsi"/>
          <w:color w:val="1D1D1B"/>
          <w:sz w:val="24"/>
          <w:szCs w:val="24"/>
        </w:rPr>
        <w:t>Le opere prodotte a cavallo tra XIX e XX secolo, nell’alveo della fertile stagione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realista, divisionista e simbolista, dimostrano il sincero e profondo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interesse per i temi e i soggetti sacri da parte di molti protagonisti della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scena artistica italiana. Pellizza da Volpedo, Segantini e Previati, solo per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citare i nomi più noti, hanno realizzato intensi capolavori mai approdati,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tuttavia, all’interno di una chiesa e agli onori di un altare.</w:t>
      </w:r>
    </w:p>
    <w:p w14:paraId="198FFE93" w14:textId="64A93366" w:rsidR="00A876D3" w:rsidRPr="00A876D3" w:rsidRDefault="00A876D3" w:rsidP="00A876D3">
      <w:pPr>
        <w:pStyle w:val="Nessunaspaziatura"/>
        <w:spacing w:after="120"/>
        <w:jc w:val="both"/>
        <w:rPr>
          <w:rFonts w:cstheme="minorHAnsi"/>
          <w:color w:val="1D1D1B"/>
          <w:sz w:val="24"/>
          <w:szCs w:val="24"/>
        </w:rPr>
      </w:pPr>
      <w:r w:rsidRPr="00A876D3">
        <w:rPr>
          <w:rFonts w:cstheme="minorHAnsi"/>
          <w:color w:val="1D1D1B"/>
          <w:sz w:val="24"/>
          <w:szCs w:val="24"/>
        </w:rPr>
        <w:t xml:space="preserve">La straordinaria </w:t>
      </w:r>
      <w:r w:rsidRPr="00A876D3">
        <w:rPr>
          <w:rFonts w:cstheme="minorHAnsi"/>
          <w:i/>
          <w:iCs/>
          <w:color w:val="1D1D1B"/>
          <w:sz w:val="24"/>
          <w:szCs w:val="24"/>
        </w:rPr>
        <w:t xml:space="preserve">Via Crucis </w:t>
      </w:r>
      <w:r w:rsidRPr="00A876D3">
        <w:rPr>
          <w:rFonts w:cstheme="minorHAnsi"/>
          <w:color w:val="1D1D1B"/>
          <w:sz w:val="24"/>
          <w:szCs w:val="24"/>
        </w:rPr>
        <w:t>che Previati realizza in apertura di secolo, tra il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1901 e il 1902, opera che rappresenta una potente lettura iconografica,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stilistica e teologica, quasi una “omelia” sul racconto evangelico, non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è mai stata accettata all’interno di un edificio sacro nonostante gli espliciti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 xml:space="preserve">sforzi dell’artista e del suo mecenate, Alberto </w:t>
      </w:r>
      <w:proofErr w:type="spellStart"/>
      <w:r w:rsidRPr="00A876D3">
        <w:rPr>
          <w:rFonts w:cstheme="minorHAnsi"/>
          <w:color w:val="1D1D1B"/>
          <w:sz w:val="24"/>
          <w:szCs w:val="24"/>
        </w:rPr>
        <w:t>Grubicy</w:t>
      </w:r>
      <w:proofErr w:type="spellEnd"/>
      <w:r w:rsidRPr="00A876D3">
        <w:rPr>
          <w:rFonts w:cstheme="minorHAnsi"/>
          <w:color w:val="1D1D1B"/>
          <w:sz w:val="24"/>
          <w:szCs w:val="24"/>
        </w:rPr>
        <w:t>.</w:t>
      </w:r>
    </w:p>
    <w:p w14:paraId="39BE49ED" w14:textId="51631AF6" w:rsidR="00A876D3" w:rsidRPr="00A876D3" w:rsidRDefault="00A876D3" w:rsidP="00A876D3">
      <w:pPr>
        <w:pStyle w:val="Nessunaspaziatura"/>
        <w:spacing w:after="120"/>
        <w:jc w:val="both"/>
        <w:rPr>
          <w:rFonts w:cstheme="minorHAnsi"/>
          <w:color w:val="1D1D1B"/>
          <w:sz w:val="24"/>
          <w:szCs w:val="24"/>
        </w:rPr>
      </w:pPr>
      <w:r w:rsidRPr="00A876D3">
        <w:rPr>
          <w:rFonts w:cstheme="minorHAnsi"/>
          <w:color w:val="1D1D1B"/>
          <w:sz w:val="24"/>
          <w:szCs w:val="24"/>
        </w:rPr>
        <w:t>La Chiesa sta allora muovendo i primi passi in una direzione prevalentemente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organizzativa, per tutelare e conservare il patrimonio presente nelle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chiese e per incrementare l’insegnamento della storia dell’arte nei seminari.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È datata 12 dicembre 1907 la circolare che la Segreteria di Stato indirizza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alle Diocesi italiane, invitandole a istituire la figura di un duplice commissario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permanente a supervisione dei fondi archivistici e dei monumenti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custoditi dal clero. Un’iniziativa promossa dall’azione di monsignor Celso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Costantini, uno dei principali protagonisti e sostenitori, nella prima metà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del Novecento, del dibattito sull’arte sacra.</w:t>
      </w:r>
    </w:p>
    <w:p w14:paraId="1B9A9704" w14:textId="5D275E05" w:rsidR="00A876D3" w:rsidRPr="00A876D3" w:rsidRDefault="00A876D3" w:rsidP="00A876D3">
      <w:pPr>
        <w:pStyle w:val="Nessunaspaziatura"/>
        <w:spacing w:after="120"/>
        <w:jc w:val="both"/>
        <w:rPr>
          <w:rFonts w:cstheme="minorHAnsi"/>
          <w:color w:val="1D1D1B"/>
          <w:sz w:val="24"/>
          <w:szCs w:val="24"/>
        </w:rPr>
      </w:pPr>
      <w:r w:rsidRPr="00A876D3">
        <w:rPr>
          <w:rFonts w:cstheme="minorHAnsi"/>
          <w:color w:val="1D1D1B"/>
          <w:sz w:val="24"/>
          <w:szCs w:val="24"/>
        </w:rPr>
        <w:t>Oltre agli aspetti legati alla tutela, Costantini si impegna a rivitalizzare il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terreno del confronto attraverso la costituzione di movimenti associativi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e di riviste specializzate, con l’obiettivo di raggiungere un ampio coinvolgimento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della società civile e laica, oltre che religiosa. A Milano nel 1912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viene fondata la Società degli amici dell’arte cristiana per incentivare e sensibilizzare,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sull’esempio di esperienze maturate in Francia e in Germania,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l’interesse generale intorno all’arte religiosa moderna attraverso la promozione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di iniziative espositive. L’anno successivo, sotto la direzione dello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stesso Costantini, nasce la rivista “Arte Cristiana”, la cui attività editoriale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prosegue, senza soluzione di continuità, anche durante le due guerre. Nel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 xml:space="preserve">testo programmatico, firmato da </w:t>
      </w:r>
      <w:r w:rsidRPr="00A876D3">
        <w:rPr>
          <w:rFonts w:cstheme="minorHAnsi"/>
          <w:color w:val="1D1D1B"/>
          <w:sz w:val="24"/>
          <w:szCs w:val="24"/>
        </w:rPr>
        <w:lastRenderedPageBreak/>
        <w:t xml:space="preserve">Filippo </w:t>
      </w:r>
      <w:proofErr w:type="spellStart"/>
      <w:r w:rsidRPr="00A876D3">
        <w:rPr>
          <w:rFonts w:cstheme="minorHAnsi"/>
          <w:color w:val="1D1D1B"/>
          <w:sz w:val="24"/>
          <w:szCs w:val="24"/>
        </w:rPr>
        <w:t>Crispolti</w:t>
      </w:r>
      <w:proofErr w:type="spellEnd"/>
      <w:r w:rsidRPr="00A876D3">
        <w:rPr>
          <w:rFonts w:cstheme="minorHAnsi"/>
          <w:color w:val="1D1D1B"/>
          <w:sz w:val="24"/>
          <w:szCs w:val="24"/>
        </w:rPr>
        <w:t>, presidente degli “amici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dell’arte cristiana”, e pubblicato sul primo numero della rivista, si sottolinea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la volontà di raccogliere le energie per promuovere un’arte sacra arginando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una decadenza innescata in parte da un diffuso scetticismo religioso, in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parte dall’abbandono di una promozione intelligente e consapevole, che ha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provocato l’invasione nelle chiese di oggetti pseudo-artistici e di immagini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oleografiche.</w:t>
      </w:r>
    </w:p>
    <w:p w14:paraId="594D275C" w14:textId="75388E8C" w:rsidR="00A876D3" w:rsidRPr="00A876D3" w:rsidRDefault="00A876D3" w:rsidP="00A876D3">
      <w:pPr>
        <w:pStyle w:val="Nessunaspaziatura"/>
        <w:spacing w:after="120"/>
        <w:jc w:val="both"/>
        <w:rPr>
          <w:rFonts w:cstheme="minorHAnsi"/>
          <w:color w:val="1D1D1B"/>
          <w:sz w:val="24"/>
          <w:szCs w:val="24"/>
        </w:rPr>
      </w:pPr>
      <w:r w:rsidRPr="00A876D3">
        <w:rPr>
          <w:rFonts w:cstheme="minorHAnsi"/>
          <w:color w:val="1D1D1B"/>
          <w:sz w:val="24"/>
          <w:szCs w:val="24"/>
        </w:rPr>
        <w:t>La critica alla sclerosi delle forme artistiche contemporanee si snoda parallelamente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alla riflessione sul confronto con la tradizione, aspetto centrale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nel dibattito in seno alla Chiesa in questi anni. I riferimenti a modelli formali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spesso radicalmente divergenti e risalenti a diverse epoche del passato,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si inseriscono nella ricerca di una sorta di “via mediana” dell’espressione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 xml:space="preserve">artistica nel contesto sacro, ancora indefinita nella sua </w:t>
      </w:r>
      <w:r w:rsidRPr="00A876D3">
        <w:rPr>
          <w:rFonts w:cstheme="minorHAnsi"/>
          <w:i/>
          <w:iCs/>
          <w:color w:val="1D1D1B"/>
          <w:sz w:val="24"/>
          <w:szCs w:val="24"/>
        </w:rPr>
        <w:t xml:space="preserve">pars </w:t>
      </w:r>
      <w:proofErr w:type="spellStart"/>
      <w:r w:rsidRPr="00A876D3">
        <w:rPr>
          <w:rFonts w:cstheme="minorHAnsi"/>
          <w:i/>
          <w:iCs/>
          <w:color w:val="1D1D1B"/>
          <w:sz w:val="24"/>
          <w:szCs w:val="24"/>
        </w:rPr>
        <w:t>construens</w:t>
      </w:r>
      <w:proofErr w:type="spellEnd"/>
      <w:r w:rsidRPr="00A876D3">
        <w:rPr>
          <w:rFonts w:cstheme="minorHAnsi"/>
          <w:color w:val="1D1D1B"/>
          <w:sz w:val="24"/>
          <w:szCs w:val="24"/>
        </w:rPr>
        <w:t>, ma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 xml:space="preserve">rispetto alla quale sono chiari gli estremi della </w:t>
      </w:r>
      <w:r w:rsidRPr="00A876D3">
        <w:rPr>
          <w:rFonts w:cstheme="minorHAnsi"/>
          <w:i/>
          <w:iCs/>
          <w:color w:val="1D1D1B"/>
          <w:sz w:val="24"/>
          <w:szCs w:val="24"/>
        </w:rPr>
        <w:t xml:space="preserve">pars </w:t>
      </w:r>
      <w:proofErr w:type="spellStart"/>
      <w:r w:rsidRPr="00A876D3">
        <w:rPr>
          <w:rFonts w:cstheme="minorHAnsi"/>
          <w:i/>
          <w:iCs/>
          <w:color w:val="1D1D1B"/>
          <w:sz w:val="24"/>
          <w:szCs w:val="24"/>
        </w:rPr>
        <w:t>destruens</w:t>
      </w:r>
      <w:proofErr w:type="spellEnd"/>
      <w:r w:rsidRPr="00A876D3">
        <w:rPr>
          <w:rFonts w:cstheme="minorHAnsi"/>
          <w:color w:val="1D1D1B"/>
          <w:sz w:val="24"/>
          <w:szCs w:val="24"/>
        </w:rPr>
        <w:t>, se prendiamo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a mo’ di esempio il titolo della conferenza che Costantini tiene a Trento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 xml:space="preserve">il 26 giugno 1914: </w:t>
      </w:r>
      <w:r w:rsidRPr="00A876D3">
        <w:rPr>
          <w:rFonts w:cstheme="minorHAnsi"/>
          <w:i/>
          <w:iCs/>
          <w:color w:val="1D1D1B"/>
          <w:sz w:val="24"/>
          <w:szCs w:val="24"/>
        </w:rPr>
        <w:t>Né passatisti né futuristi</w:t>
      </w:r>
      <w:r w:rsidRPr="00A876D3">
        <w:rPr>
          <w:rFonts w:cstheme="minorHAnsi"/>
          <w:color w:val="1D1D1B"/>
          <w:sz w:val="24"/>
          <w:szCs w:val="24"/>
        </w:rPr>
        <w:t>.</w:t>
      </w:r>
    </w:p>
    <w:p w14:paraId="7397F7EF" w14:textId="07574EE8" w:rsidR="00B52810" w:rsidRDefault="00A876D3" w:rsidP="00A876D3">
      <w:pPr>
        <w:pStyle w:val="Nessunaspaziatura"/>
        <w:spacing w:after="120"/>
        <w:jc w:val="both"/>
        <w:rPr>
          <w:rFonts w:cstheme="minorHAnsi"/>
          <w:color w:val="1D1D1B"/>
          <w:sz w:val="24"/>
          <w:szCs w:val="24"/>
        </w:rPr>
      </w:pPr>
      <w:r w:rsidRPr="00A876D3">
        <w:rPr>
          <w:rFonts w:cstheme="minorHAnsi"/>
          <w:color w:val="1D1D1B"/>
          <w:sz w:val="24"/>
          <w:szCs w:val="24"/>
        </w:rPr>
        <w:t>Un auspicato quanto fragile equilibrio, come è confermato dalla apertura,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nel 1921 dell’Istituto di arte sacra Beato Angelico a Milano, sorto nell’alveo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della più ampia e autorevole azione dell’Università Cattolica del Sacro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Cuore. L’iniziativa rappresenta proprio il desiderio e il tentativo di definire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delle regole procedurali, attraverso una pianificata educazione religiosa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e soprattutto un apprendistato tecnico-manuale per i futuri “artigiani”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dell’arte liturgica, quasi a voler far rivivere l’arcaico modello delle botteghe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medievali e rinascimentali, ma di fatto contribuendo ad aumentare le distanze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tra arte e arte sacra.</w:t>
      </w:r>
    </w:p>
    <w:p w14:paraId="3B7AD314" w14:textId="2FC4305C" w:rsidR="00A876D3" w:rsidRDefault="00A876D3" w:rsidP="00A876D3">
      <w:pPr>
        <w:pStyle w:val="Nessunaspaziatura"/>
        <w:spacing w:after="120"/>
        <w:jc w:val="both"/>
        <w:rPr>
          <w:rFonts w:cstheme="minorHAnsi"/>
          <w:color w:val="1D1D1B"/>
          <w:sz w:val="24"/>
          <w:szCs w:val="24"/>
        </w:rPr>
      </w:pPr>
      <w:r w:rsidRPr="00A876D3">
        <w:rPr>
          <w:rFonts w:cstheme="minorHAnsi"/>
          <w:color w:val="1D1D1B"/>
          <w:sz w:val="24"/>
          <w:szCs w:val="24"/>
        </w:rPr>
        <w:t>Anche la critica e la ricerca artistica ragionano intorno alla possibilità di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definire “formule” figurative adeguate ad affrontare il messaggio cristiano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e il racconto delle Sacre Scritture. Alcuni interventi di Ardengo Soffici su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“La Voce”, intorno al 1910, o gli scritti di Carlo Carrà (</w:t>
      </w:r>
      <w:r w:rsidRPr="00A876D3">
        <w:rPr>
          <w:rFonts w:cstheme="minorHAnsi"/>
          <w:i/>
          <w:iCs/>
          <w:color w:val="1D1D1B"/>
          <w:sz w:val="24"/>
          <w:szCs w:val="24"/>
        </w:rPr>
        <w:t>Arte moderna e</w:t>
      </w:r>
      <w:r>
        <w:rPr>
          <w:rFonts w:cstheme="minorHAnsi"/>
          <w:i/>
          <w:iCs/>
          <w:color w:val="1D1D1B"/>
          <w:sz w:val="24"/>
          <w:szCs w:val="24"/>
        </w:rPr>
        <w:t xml:space="preserve"> </w:t>
      </w:r>
      <w:r w:rsidRPr="00A876D3">
        <w:rPr>
          <w:rFonts w:cstheme="minorHAnsi"/>
          <w:i/>
          <w:iCs/>
          <w:color w:val="1D1D1B"/>
          <w:sz w:val="24"/>
          <w:szCs w:val="24"/>
        </w:rPr>
        <w:t xml:space="preserve">arte popolare </w:t>
      </w:r>
      <w:r w:rsidRPr="00A876D3">
        <w:rPr>
          <w:rFonts w:cstheme="minorHAnsi"/>
          <w:color w:val="1D1D1B"/>
          <w:sz w:val="24"/>
          <w:szCs w:val="24"/>
        </w:rPr>
        <w:t>del 1914 o suoi successivi studi su Giotto o Paolo Uccello)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promuovono l’interesse per una pittura ingenua e popolare che affonda le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radici nella cultura dell’arte medievale o protorinascimentale italiana, distanziandosi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allo stesso tempo dalle proposte avanguardiste, cui entrambi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gli artisti partecipano in questi stessi anni, e dai modelli che vengono da</w:t>
      </w:r>
      <w:r>
        <w:rPr>
          <w:rFonts w:cstheme="minorHAnsi"/>
          <w:color w:val="1D1D1B"/>
          <w:sz w:val="24"/>
          <w:szCs w:val="24"/>
        </w:rPr>
        <w:t xml:space="preserve"> </w:t>
      </w:r>
      <w:r w:rsidRPr="00A876D3">
        <w:rPr>
          <w:rFonts w:cstheme="minorHAnsi"/>
          <w:color w:val="1D1D1B"/>
          <w:sz w:val="24"/>
          <w:szCs w:val="24"/>
        </w:rPr>
        <w:t>oltralpe.</w:t>
      </w:r>
    </w:p>
    <w:p w14:paraId="0488D298" w14:textId="14800E52" w:rsidR="00770AAC" w:rsidRDefault="00770AAC" w:rsidP="00770AAC">
      <w:pPr>
        <w:pStyle w:val="Nessunaspaziatura"/>
        <w:rPr>
          <w:rFonts w:cstheme="minorHAnsi"/>
          <w:color w:val="1D1D1B"/>
          <w:sz w:val="24"/>
          <w:szCs w:val="24"/>
        </w:rPr>
      </w:pPr>
      <w:r>
        <w:rPr>
          <w:rFonts w:cstheme="minorHAnsi"/>
          <w:color w:val="1D1D1B"/>
          <w:sz w:val="24"/>
          <w:szCs w:val="24"/>
        </w:rPr>
        <w:t xml:space="preserve">Milano, 10 </w:t>
      </w:r>
      <w:r w:rsidR="00A84AA2">
        <w:rPr>
          <w:rFonts w:cstheme="minorHAnsi"/>
          <w:color w:val="1D1D1B"/>
          <w:sz w:val="24"/>
          <w:szCs w:val="24"/>
        </w:rPr>
        <w:t>marzo</w:t>
      </w:r>
      <w:r>
        <w:rPr>
          <w:rFonts w:cstheme="minorHAnsi"/>
          <w:color w:val="1D1D1B"/>
          <w:sz w:val="24"/>
          <w:szCs w:val="24"/>
        </w:rPr>
        <w:t xml:space="preserve"> 2022</w:t>
      </w:r>
    </w:p>
    <w:p w14:paraId="0FB20B8D" w14:textId="3C71D6B2" w:rsidR="00A876D3" w:rsidRDefault="00A876D3" w:rsidP="00770AAC">
      <w:pPr>
        <w:pStyle w:val="Nessunaspaziatura"/>
        <w:rPr>
          <w:rFonts w:cstheme="minorHAnsi"/>
          <w:color w:val="1D1D1B"/>
          <w:sz w:val="24"/>
          <w:szCs w:val="24"/>
        </w:rPr>
      </w:pPr>
    </w:p>
    <w:p w14:paraId="76464686" w14:textId="010C770C" w:rsidR="00A876D3" w:rsidRDefault="00A876D3" w:rsidP="00770AAC">
      <w:pPr>
        <w:pStyle w:val="Nessunaspaziatura"/>
        <w:rPr>
          <w:rFonts w:cstheme="minorHAnsi"/>
          <w:color w:val="1D1D1B"/>
          <w:sz w:val="24"/>
          <w:szCs w:val="24"/>
        </w:rPr>
      </w:pPr>
    </w:p>
    <w:p w14:paraId="563FBE48" w14:textId="24CA813B" w:rsidR="00A876D3" w:rsidRPr="00A876D3" w:rsidRDefault="00A876D3" w:rsidP="00770AAC">
      <w:pPr>
        <w:pStyle w:val="Nessunaspaziatura"/>
        <w:rPr>
          <w:rFonts w:cstheme="minorHAnsi"/>
          <w:b/>
          <w:bCs/>
          <w:color w:val="1D1D1B"/>
          <w:sz w:val="24"/>
          <w:szCs w:val="24"/>
        </w:rPr>
      </w:pPr>
      <w:r w:rsidRPr="00A876D3">
        <w:rPr>
          <w:rFonts w:cstheme="minorHAnsi"/>
          <w:b/>
          <w:bCs/>
          <w:color w:val="1D1D1B"/>
          <w:sz w:val="24"/>
          <w:szCs w:val="24"/>
        </w:rPr>
        <w:t>* Estratto dal testo in catalogo Silvana Editoriale</w:t>
      </w:r>
    </w:p>
    <w:sectPr w:rsidR="00A876D3" w:rsidRPr="00A876D3" w:rsidSect="00A876D3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B92"/>
    <w:rsid w:val="000165B6"/>
    <w:rsid w:val="00654854"/>
    <w:rsid w:val="00770AAC"/>
    <w:rsid w:val="00A84AA2"/>
    <w:rsid w:val="00A876D3"/>
    <w:rsid w:val="00B52810"/>
    <w:rsid w:val="00D40B92"/>
    <w:rsid w:val="00D847E1"/>
    <w:rsid w:val="00F8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F90CF"/>
  <w15:chartTrackingRefBased/>
  <w15:docId w15:val="{2CBE61BE-E703-4287-8A2D-4639A1F6C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70A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4A983C-A376-42DE-A8D9-6DEE31196C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428A9C-DBB2-4727-824F-94DCA057E3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2304D2-F339-4336-AF8F-07D3C3502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Defrancesco</dc:creator>
  <cp:keywords/>
  <dc:description/>
  <cp:lastModifiedBy>Carlo Ghielmetti</cp:lastModifiedBy>
  <cp:revision>2</cp:revision>
  <cp:lastPrinted>2022-03-09T09:21:00Z</cp:lastPrinted>
  <dcterms:created xsi:type="dcterms:W3CDTF">2022-03-09T09:37:00Z</dcterms:created>
  <dcterms:modified xsi:type="dcterms:W3CDTF">2022-03-09T09:37:00Z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