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770AAC" w:rsidRPr="00393031" w14:paraId="3EE19EBC" w14:textId="77777777" w:rsidTr="00770AAC">
        <w:tc>
          <w:tcPr>
            <w:tcW w:w="4823" w:type="dxa"/>
            <w:shd w:val="clear" w:color="auto" w:fill="auto"/>
            <w:vAlign w:val="center"/>
          </w:tcPr>
          <w:p w14:paraId="475EE5C6" w14:textId="5EC27FAD" w:rsidR="00770AAC" w:rsidRPr="00393031" w:rsidRDefault="00770AAC" w:rsidP="00E16CA3">
            <w:pPr>
              <w:spacing w:after="0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45414C33" wp14:editId="673B0883">
                  <wp:extent cx="914400" cy="75184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1EA1C3CF" w14:textId="031E6025" w:rsidR="00770AAC" w:rsidRPr="00393031" w:rsidRDefault="00770AAC" w:rsidP="00E16CA3">
            <w:pPr>
              <w:spacing w:after="0"/>
              <w:jc w:val="right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751525FA" wp14:editId="6FB80ED8">
                  <wp:extent cx="670560" cy="70612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07547E" w14:textId="15EE7B3C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78FA6284" w14:textId="77777777" w:rsidR="00B52810" w:rsidRDefault="00B52810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28658294" w14:textId="6E96A119" w:rsidR="00B52810" w:rsidRPr="00B52810" w:rsidRDefault="000165B6" w:rsidP="00B52810">
      <w:pPr>
        <w:pStyle w:val="Nessunaspaziatura"/>
        <w:rPr>
          <w:rFonts w:cstheme="minorHAnsi"/>
          <w:b/>
          <w:bCs/>
          <w:color w:val="1D1D1B"/>
          <w:sz w:val="28"/>
          <w:szCs w:val="28"/>
        </w:rPr>
      </w:pPr>
      <w:r w:rsidRPr="000165B6">
        <w:rPr>
          <w:rFonts w:cstheme="minorHAnsi"/>
          <w:b/>
          <w:bCs/>
          <w:color w:val="1D1D1B"/>
          <w:sz w:val="28"/>
          <w:szCs w:val="28"/>
        </w:rPr>
        <w:t>NADIA RIGHI</w:t>
      </w:r>
    </w:p>
    <w:p w14:paraId="5B00CDBE" w14:textId="585C622A" w:rsidR="00770AAC" w:rsidRPr="00770AAC" w:rsidRDefault="000165B6" w:rsidP="00B52810">
      <w:pPr>
        <w:pStyle w:val="Nessunaspaziatura"/>
        <w:rPr>
          <w:rFonts w:cstheme="minorHAnsi"/>
          <w:b/>
          <w:bCs/>
          <w:color w:val="1D1D1B"/>
          <w:sz w:val="24"/>
          <w:szCs w:val="24"/>
        </w:rPr>
      </w:pPr>
      <w:r w:rsidRPr="000165B6">
        <w:rPr>
          <w:rFonts w:cstheme="minorHAnsi"/>
          <w:b/>
          <w:bCs/>
          <w:color w:val="1D1D1B"/>
          <w:sz w:val="28"/>
          <w:szCs w:val="28"/>
        </w:rPr>
        <w:t>Direttore del Museo Diocesano Carlo Maria Martini</w:t>
      </w:r>
    </w:p>
    <w:p w14:paraId="72EA6717" w14:textId="38A26B39" w:rsidR="00D847E1" w:rsidRDefault="00D847E1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49F83A8E" w14:textId="280F6E5B" w:rsidR="00B52810" w:rsidRDefault="00B52810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1E81F5B3" w14:textId="4B9D126F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Dopo l’esposizione su Gaetano Previati nel 2018 e la mostra dedicata all’arte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sacra francese del Novecento nel 2020, quella di quest’anno costituisce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terzo capitolo di un progetto realizzato in collaborazione con i Musei Vaticani,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reso possibile grazie alla generosità di Barbara </w:t>
      </w:r>
      <w:proofErr w:type="spellStart"/>
      <w:r w:rsidRPr="000165B6">
        <w:rPr>
          <w:rFonts w:cstheme="minorHAnsi"/>
          <w:color w:val="1D1D1B"/>
          <w:sz w:val="24"/>
          <w:szCs w:val="24"/>
        </w:rPr>
        <w:t>Jatta</w:t>
      </w:r>
      <w:proofErr w:type="spellEnd"/>
      <w:r w:rsidRPr="000165B6">
        <w:rPr>
          <w:rFonts w:cstheme="minorHAnsi"/>
          <w:color w:val="1D1D1B"/>
          <w:sz w:val="24"/>
          <w:szCs w:val="24"/>
        </w:rPr>
        <w:t xml:space="preserve"> e di Micol Forti,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che hanno condiviso sin da subito con entusiasmo questo percorso. La nostra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gratitudine va anche a Deloitte che con il Patrocinio di Fondazione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Deloitte ha deciso di sponsorizzare questa esposizione nell’anno del ventennale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del Museo Diocesano. In occasione della Pasqua, ci soffermiamo ancora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sui temi della Passione, questa volta però attraverso le opere dei più importati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artisti italiani del Novecento.</w:t>
      </w:r>
    </w:p>
    <w:p w14:paraId="5AEFA50B" w14:textId="7F084CB6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Nel febbraio 2020, pochi giorni dopo aver inaugurato “Gauguin Matisse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Chagall. La Passione nell’arte francese dai Musei Vaticani”, la pandemia ha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cambiato la vita di ciascuno di noi e il nostro modo di affrontare le circostanze.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La fatica e il dolore degli ultimi due anni sono stati anche per tutti noi una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insospettabile possibilità di approfondire molteplici aspetti della nostra vita,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costringendoci ad andare all’origine dei nostri desideri, di felicità, di bellezza,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cercando senso e significato in ogni cosa. Il progetto espositivo nasce proprio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da questa riflessione. Come stare di fronte a ciò che accade, ad avvenimenti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quotidiani o a grandi eventi, senza perdere la Speranza?</w:t>
      </w:r>
    </w:p>
    <w:p w14:paraId="51B24AD5" w14:textId="50B2726E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È lo stesso interrogativo davanti al quale si sono trovati gli uomini e gli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artisti del secolo scorso, in anni segnati dai conflitti mondiali, dalla distruzione,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dai sacrifici umani, dalla paura, dall’orrore dell’Olocausto. Anche gli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artisti allora hanno dovuto fare i conti, come noi oggi, con una urgente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domanda sul senso di tutto ciò.</w:t>
      </w:r>
    </w:p>
    <w:p w14:paraId="640AE2B2" w14:textId="272039DF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Questa esigenza di significato assume forme sorprendenti quando gli artisti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si misurano con il tema dell’arte sacra e in particolare con la Passione di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Cristo, un soggetto che in quei tragici anni è stato spesso letto e interpretato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come segno delle sofferenze che stavano lacerando l’umanità.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Come si vede nel percorso espositivo, ognuno di essi affronta il tema della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Passione secondo la propria sensibilità, ma anche in relazione al proprio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percorso artistico, con risultati differenti e a volte contrastanti. Nelle sale si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cerca di dare ragione della ricchezza e delle sfaccettature degli stili, della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pluralità dei linguaggi che convivono nel corso del Novecento, ma anche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dei diversi atteggiamenti nei confronti dei modelli di una, a volte, ingombrante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tradizione pittorica. Sia pur in questa inevitabile diversità, è tuttavia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possibile scorgere un </w:t>
      </w:r>
      <w:r w:rsidRPr="000165B6">
        <w:rPr>
          <w:rFonts w:cstheme="minorHAnsi"/>
          <w:i/>
          <w:iCs/>
          <w:color w:val="1D1D1B"/>
          <w:sz w:val="24"/>
          <w:szCs w:val="24"/>
        </w:rPr>
        <w:t>fil rouge</w:t>
      </w:r>
      <w:r w:rsidRPr="000165B6">
        <w:rPr>
          <w:rFonts w:cstheme="minorHAnsi"/>
          <w:color w:val="1D1D1B"/>
          <w:sz w:val="24"/>
          <w:szCs w:val="24"/>
        </w:rPr>
        <w:t>, costituito da una tensione spirituale mai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sopita, presente in ogni uomo indipendentemente dalla propria fede.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La mostra permette anche di rileggere, come ha evidenziato Micol Forti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nel suo saggio in catalogo, il rapporto complesso tra gli artisti e l’arte sacra,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e il tormentato dialogo tra gli artisti e la Chiesa nel secolo scorso. Il punto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di partenza, nonché di arrivo, è il pensiero di papa Paolo VI sull’arte contemporanea,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che emerge con chiarezza nel noto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Discorso agli artisti </w:t>
      </w:r>
      <w:r w:rsidRPr="000165B6">
        <w:rPr>
          <w:rFonts w:cstheme="minorHAnsi"/>
          <w:color w:val="1D1D1B"/>
          <w:sz w:val="24"/>
          <w:szCs w:val="24"/>
        </w:rPr>
        <w:t>in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Cappella Sistina del 1964: il pontefice percepiva l’arte come luogo di ricerca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della verità, del significato e della bellezza, mostrando anche una straordinaria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apertura alle sperimentazioni.</w:t>
      </w:r>
    </w:p>
    <w:p w14:paraId="78CDB4BA" w14:textId="5B43D108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Già negli anni del suo episcopato milanese, il cardinale Giovanni Battista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Montini aveva iniziato un percorso di profonda riflessione su questo tema che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lo aveva portato ad avviare, nel 1961, il progetto “22 chiese per 22 concili”, nato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sia dalla necessità di rispondere all’incremento </w:t>
      </w:r>
      <w:r w:rsidRPr="000165B6">
        <w:rPr>
          <w:rFonts w:cstheme="minorHAnsi"/>
          <w:color w:val="1D1D1B"/>
          <w:sz w:val="24"/>
          <w:szCs w:val="24"/>
        </w:rPr>
        <w:lastRenderedPageBreak/>
        <w:t>demografico della città e all’esigenza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di costruire nuove chiese nelle periferie sia come celebrazione dell’apertura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del Concilio Vaticano II. Lo straordinario progetto di riedificazione viene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evocato in mostra dalla presenza delle due formelle di seconda fusione per 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Via Crucis </w:t>
      </w:r>
      <w:r w:rsidRPr="000165B6">
        <w:rPr>
          <w:rFonts w:cstheme="minorHAnsi"/>
          <w:color w:val="1D1D1B"/>
          <w:sz w:val="24"/>
          <w:szCs w:val="24"/>
        </w:rPr>
        <w:t>di Fazzini, destinata alla chiesa di Santa Barbara a San Donato Milanese,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oltre che dai suggestivi disegni preparatori per la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Via Crucis </w:t>
      </w:r>
      <w:r w:rsidRPr="000165B6">
        <w:rPr>
          <w:rFonts w:cstheme="minorHAnsi"/>
          <w:color w:val="1D1D1B"/>
          <w:sz w:val="24"/>
          <w:szCs w:val="24"/>
        </w:rPr>
        <w:t>di Guido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Strazza, realizzata per la chiesa di Ponte Lambro.</w:t>
      </w:r>
    </w:p>
    <w:p w14:paraId="25CADDBF" w14:textId="17A2D223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Infine, la mostra permette ai visitatori di ripercorrere i temi principali della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Passione di Cristo. Dal </w:t>
      </w:r>
      <w:r w:rsidRPr="000165B6">
        <w:rPr>
          <w:rFonts w:cstheme="minorHAnsi"/>
          <w:i/>
          <w:iCs/>
          <w:color w:val="1D1D1B"/>
          <w:sz w:val="24"/>
          <w:szCs w:val="24"/>
        </w:rPr>
        <w:t>Bacio di Giuda</w:t>
      </w:r>
      <w:r w:rsidRPr="000165B6">
        <w:rPr>
          <w:rFonts w:cstheme="minorHAnsi"/>
          <w:color w:val="1D1D1B"/>
          <w:sz w:val="24"/>
          <w:szCs w:val="24"/>
        </w:rPr>
        <w:t>, nelle due versioni di Montanari 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Casorati, che propongono a mezzo secolo di distanza l’una dall’altra un’atmosfera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di poetico silenzio, alla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Flagellazione </w:t>
      </w:r>
      <w:r w:rsidRPr="000165B6">
        <w:rPr>
          <w:rFonts w:cstheme="minorHAnsi"/>
          <w:color w:val="1D1D1B"/>
          <w:sz w:val="24"/>
          <w:szCs w:val="24"/>
        </w:rPr>
        <w:t>di Fiume, che sottolinea l’aspetto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umano e tragico del dolore. E poi la via dolorosa, rievocata dai cristiani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nella pratica della Via Crucis: le due formelle di Fazzini scelte per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questo percorso riguardano due incontri di Cristo sulla via al Golgota: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quello, straziante, con la Madre, segno di amore e dolore insieme, e quello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con la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pietas </w:t>
      </w:r>
      <w:r w:rsidRPr="000165B6">
        <w:rPr>
          <w:rFonts w:cstheme="minorHAnsi"/>
          <w:color w:val="1D1D1B"/>
          <w:sz w:val="24"/>
          <w:szCs w:val="24"/>
        </w:rPr>
        <w:t>commossa della Veronica.</w:t>
      </w:r>
    </w:p>
    <w:p w14:paraId="5DFB72FD" w14:textId="0D883284" w:rsidR="000165B6" w:rsidRPr="000165B6" w:rsidRDefault="000165B6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0165B6">
        <w:rPr>
          <w:rFonts w:cstheme="minorHAnsi"/>
          <w:color w:val="1D1D1B"/>
          <w:sz w:val="24"/>
          <w:szCs w:val="24"/>
        </w:rPr>
        <w:t>Si vedranno poi le diverse interpretazioni di Cristo crocefisso, talvolta osservato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con dolcezza come in Manzù o in Carrà, altre volte, come in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Guttuso, reso con esasperato espressionismo, e molto spesso, come in Rosai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o in Mirko Basaldella esplicita e dolorosa metafora dell’uomo contemporaneo.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E infine il silenzio, con la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Deposizione </w:t>
      </w:r>
      <w:r w:rsidRPr="000165B6">
        <w:rPr>
          <w:rFonts w:cstheme="minorHAnsi"/>
          <w:color w:val="1D1D1B"/>
          <w:sz w:val="24"/>
          <w:szCs w:val="24"/>
        </w:rPr>
        <w:t>di Carena, che dà il proprio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volto a quello di Gesù e chiama ciascuno di noi a stringerci attorno a questo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dolore immenso, e la </w:t>
      </w:r>
      <w:r w:rsidRPr="000165B6">
        <w:rPr>
          <w:rFonts w:cstheme="minorHAnsi"/>
          <w:i/>
          <w:iCs/>
          <w:color w:val="1D1D1B"/>
          <w:sz w:val="24"/>
          <w:szCs w:val="24"/>
        </w:rPr>
        <w:t>Pietà</w:t>
      </w:r>
      <w:r w:rsidRPr="000165B6">
        <w:rPr>
          <w:rFonts w:cstheme="minorHAnsi"/>
          <w:color w:val="1D1D1B"/>
          <w:sz w:val="24"/>
          <w:szCs w:val="24"/>
        </w:rPr>
        <w:t>, con le delicatissime versioni di Carrà e di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Messina, che guarda con commozione ai modelli michelangioleschi.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E dopo il buio del Sepolcro, ecco l’esplosione di luce della Resurrezione.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 xml:space="preserve">percorso termina infatti con i bozzetti per la spettacolare </w:t>
      </w:r>
      <w:r w:rsidRPr="000165B6">
        <w:rPr>
          <w:rFonts w:cstheme="minorHAnsi"/>
          <w:i/>
          <w:iCs/>
          <w:color w:val="1D1D1B"/>
          <w:sz w:val="24"/>
          <w:szCs w:val="24"/>
        </w:rPr>
        <w:t xml:space="preserve">Resurrezione </w:t>
      </w:r>
      <w:r w:rsidRPr="000165B6">
        <w:rPr>
          <w:rFonts w:cstheme="minorHAnsi"/>
          <w:color w:val="1D1D1B"/>
          <w:sz w:val="24"/>
          <w:szCs w:val="24"/>
        </w:rPr>
        <w:t>realizzata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da Fazzini per la Sala Nervi in Vaticano. Fu proprio papa Paolo VI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 inaugurarla, il 28 settembre 1977, evidenziando il senso più profondo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della presenza di quell’opera in un luogo in cui il successore di Pietro, ancora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oggi, incontra i fedeli: “Noi vogliamo attestare, a voi Figli e Fratelli, 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a quanti della gloria e della speranza del nome cristiano sono rivestiti nel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mondo, che Cristo ancor oggi, è nella storia del mondo; ancor oggi più che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0165B6">
        <w:rPr>
          <w:rFonts w:cstheme="minorHAnsi"/>
          <w:color w:val="1D1D1B"/>
          <w:sz w:val="24"/>
          <w:szCs w:val="24"/>
        </w:rPr>
        <w:t>mai, Cristo è vivo, Cristo è reale. Vivo e reale”.</w:t>
      </w:r>
    </w:p>
    <w:p w14:paraId="7397F7EF" w14:textId="77777777" w:rsidR="00B52810" w:rsidRDefault="00B52810" w:rsidP="00B52810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</w:p>
    <w:p w14:paraId="0488D298" w14:textId="6DA2D7C5" w:rsidR="00770AAC" w:rsidRPr="00770AAC" w:rsidRDefault="00770AAC" w:rsidP="00770AAC">
      <w:pPr>
        <w:pStyle w:val="Nessunaspaziatura"/>
        <w:rPr>
          <w:rFonts w:cstheme="minorHAnsi"/>
          <w:color w:val="1D1D1B"/>
          <w:sz w:val="24"/>
          <w:szCs w:val="24"/>
        </w:rPr>
      </w:pPr>
      <w:r>
        <w:rPr>
          <w:rFonts w:cstheme="minorHAnsi"/>
          <w:color w:val="1D1D1B"/>
          <w:sz w:val="24"/>
          <w:szCs w:val="24"/>
        </w:rPr>
        <w:t xml:space="preserve">Milano, 10 </w:t>
      </w:r>
      <w:r w:rsidR="00A84AA2">
        <w:rPr>
          <w:rFonts w:cstheme="minorHAnsi"/>
          <w:color w:val="1D1D1B"/>
          <w:sz w:val="24"/>
          <w:szCs w:val="24"/>
        </w:rPr>
        <w:t>marzo</w:t>
      </w:r>
      <w:r>
        <w:rPr>
          <w:rFonts w:cstheme="minorHAnsi"/>
          <w:color w:val="1D1D1B"/>
          <w:sz w:val="24"/>
          <w:szCs w:val="24"/>
        </w:rPr>
        <w:t xml:space="preserve"> 2022</w:t>
      </w:r>
    </w:p>
    <w:sectPr w:rsidR="00770AAC" w:rsidRPr="00770AAC" w:rsidSect="00770AA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92"/>
    <w:rsid w:val="000165B6"/>
    <w:rsid w:val="00654854"/>
    <w:rsid w:val="00770AAC"/>
    <w:rsid w:val="00A84AA2"/>
    <w:rsid w:val="00B52810"/>
    <w:rsid w:val="00D40B92"/>
    <w:rsid w:val="00D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90CF"/>
  <w15:chartTrackingRefBased/>
  <w15:docId w15:val="{2CBE61BE-E703-4287-8A2D-4639A1F6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70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A983C-A376-42DE-A8D9-6DEE31196C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428A9C-DBB2-4727-824F-94DCA057E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304D2-F339-4336-AF8F-07D3C350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2</cp:revision>
  <cp:lastPrinted>2022-03-09T08:47:00Z</cp:lastPrinted>
  <dcterms:created xsi:type="dcterms:W3CDTF">2022-03-09T09:04:00Z</dcterms:created>
  <dcterms:modified xsi:type="dcterms:W3CDTF">2022-03-09T09:04:00Z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