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770AAC" w:rsidRPr="00393031" w14:paraId="3EE19EBC" w14:textId="77777777" w:rsidTr="00770AAC">
        <w:tc>
          <w:tcPr>
            <w:tcW w:w="4823" w:type="dxa"/>
            <w:shd w:val="clear" w:color="auto" w:fill="auto"/>
            <w:vAlign w:val="center"/>
          </w:tcPr>
          <w:p w14:paraId="475EE5C6" w14:textId="5EC27FAD" w:rsidR="00770AAC" w:rsidRPr="00393031" w:rsidRDefault="00770AAC" w:rsidP="00E16CA3">
            <w:pPr>
              <w:spacing w:after="0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45414C33" wp14:editId="673B0883">
                  <wp:extent cx="914400" cy="75184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1EA1C3CF" w14:textId="031E6025" w:rsidR="00770AAC" w:rsidRPr="00393031" w:rsidRDefault="00770AAC" w:rsidP="00E16CA3">
            <w:pPr>
              <w:spacing w:after="0"/>
              <w:jc w:val="right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751525FA" wp14:editId="6FB80ED8">
                  <wp:extent cx="670560" cy="70612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07547E" w14:textId="15EE7B3C" w:rsidR="00770AAC" w:rsidRDefault="00770AAC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78FA6284" w14:textId="77777777" w:rsidR="00B52810" w:rsidRDefault="00B52810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28658294" w14:textId="140D1E0D" w:rsidR="00B52810" w:rsidRPr="00B52810" w:rsidRDefault="00B52810" w:rsidP="00B52810">
      <w:pPr>
        <w:pStyle w:val="Nessunaspaziatura"/>
        <w:rPr>
          <w:rFonts w:cstheme="minorHAnsi"/>
          <w:b/>
          <w:bCs/>
          <w:color w:val="1D1D1B"/>
          <w:sz w:val="28"/>
          <w:szCs w:val="28"/>
        </w:rPr>
      </w:pPr>
      <w:r w:rsidRPr="00B52810">
        <w:rPr>
          <w:rFonts w:cstheme="minorHAnsi"/>
          <w:b/>
          <w:bCs/>
          <w:color w:val="1D1D1B"/>
          <w:sz w:val="28"/>
          <w:szCs w:val="28"/>
        </w:rPr>
        <w:t>BARBARA JATTA</w:t>
      </w:r>
    </w:p>
    <w:p w14:paraId="5B00CDBE" w14:textId="56469C62" w:rsidR="00770AAC" w:rsidRPr="00770AAC" w:rsidRDefault="00B52810" w:rsidP="00B52810">
      <w:pPr>
        <w:pStyle w:val="Nessunaspaziatura"/>
        <w:rPr>
          <w:rFonts w:cstheme="minorHAnsi"/>
          <w:b/>
          <w:bCs/>
          <w:color w:val="1D1D1B"/>
          <w:sz w:val="24"/>
          <w:szCs w:val="24"/>
        </w:rPr>
      </w:pPr>
      <w:r w:rsidRPr="00B52810">
        <w:rPr>
          <w:rFonts w:cstheme="minorHAnsi"/>
          <w:b/>
          <w:bCs/>
          <w:color w:val="1D1D1B"/>
          <w:sz w:val="28"/>
          <w:szCs w:val="28"/>
        </w:rPr>
        <w:t>Direttore dei Musei Vaticani</w:t>
      </w:r>
    </w:p>
    <w:p w14:paraId="72EA6717" w14:textId="38A26B39" w:rsidR="00D847E1" w:rsidRDefault="00D847E1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49F83A8E" w14:textId="280F6E5B" w:rsidR="00B52810" w:rsidRDefault="00B52810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01864C72" w14:textId="0234214E" w:rsidR="00B52810" w:rsidRP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È una grande soddisfazione vedere oggi proseguire la bella collaborazione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fra i Musei Vaticani e il Museo Diocesano Carlo Maria Martini di Milano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con una terza iniziativa che intensifica il cammino pasquale di fede e arte,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questa volta attraverso i nostri artisti italiani: “La Passione. Arte italiana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 ’900 dai Musei Vaticani. Da Manzù a Guttuso, da Casorati a Carrà”.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Era la Pasqua del 2018 quando apriva i battenti la prima mostra nata da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questa proficua intesa: “Gaetano Previati. La Passione”. La straordinaria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i/>
          <w:iCs/>
          <w:color w:val="1D1D1B"/>
          <w:sz w:val="24"/>
          <w:szCs w:val="24"/>
        </w:rPr>
        <w:t xml:space="preserve">Via Crucis </w:t>
      </w:r>
      <w:r w:rsidRPr="00B52810">
        <w:rPr>
          <w:rFonts w:cstheme="minorHAnsi"/>
          <w:color w:val="1D1D1B"/>
          <w:sz w:val="24"/>
          <w:szCs w:val="24"/>
        </w:rPr>
        <w:t>del maestro ferrarese faceva in quella occasione la sua prima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ricomparsa a un evento espositivo dopo quasi cinquant’anni. Si apriva così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una fruttuosa stagione di studi dedicati al nucleo collezionistico dell’artista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presente nei Musei Vaticani, sfociati in una ricca pubblicazione che, con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sforzo e tenacia, siamo riusciti a portare alle stampe nell’autunno del 2021.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Un’attenzione che vedrà, inoltre, nella Quaresima di quest’anno l’uso liturgico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 xml:space="preserve">della </w:t>
      </w:r>
      <w:r w:rsidRPr="00B52810">
        <w:rPr>
          <w:rFonts w:cstheme="minorHAnsi"/>
          <w:i/>
          <w:iCs/>
          <w:color w:val="1D1D1B"/>
          <w:sz w:val="24"/>
          <w:szCs w:val="24"/>
        </w:rPr>
        <w:t xml:space="preserve">Via Crucis </w:t>
      </w:r>
      <w:r w:rsidRPr="00B52810">
        <w:rPr>
          <w:rFonts w:cstheme="minorHAnsi"/>
          <w:color w:val="1D1D1B"/>
          <w:sz w:val="24"/>
          <w:szCs w:val="24"/>
        </w:rPr>
        <w:t>nella papale basilica di San Pietro in Vaticano.</w:t>
      </w:r>
    </w:p>
    <w:p w14:paraId="6D6F6267" w14:textId="12D8F405" w:rsidR="00B52810" w:rsidRP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La seconda tappa della bella collaborazione tra i due musei si è svolta 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ridosso della Pasqua 2020, aprendo appena prima del periodo pandemico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 attraversando quei mesi bui con chiusure e riaperture, e con proroga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sino all’autunno. La riflessione attorno al tema pasquale si spostava ai capolavori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dell’arte francese del Novecento, sapientemente selezionati dalle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curatrici Micol Forti e Nadia Righi nel vasto patrimonio delle Collezioni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Vaticane: “Gauguin Matisse Chagall. La Passione nell’arte francese dai Musei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Vaticani”.</w:t>
      </w:r>
    </w:p>
    <w:p w14:paraId="25959D69" w14:textId="3BFB3BD5" w:rsidR="00B52810" w:rsidRP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La mostra odierna “La Passione. Arte italiana del ’900 dai Musei Vaticani.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Da Manzù a Guttuso, da Casorati a Carrà” è in quella linea. Artisti che,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anche grazie alla raffinata selezione proposta in mostra, non hanno nulla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da invidiare ai più noti cugini d’oltralpe, anche per la capacità del tutto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straordinaria di trasmettere forti emozioni e di sorprenderci con una carica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espressiva e una densità di linguaggio, un’urgenza comunicativa e un’aderenza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storica alla vertiginosa parabola del Novecento. Coniugate sempre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al sentire personale, alla spiritualità individuale dei singoli artisti, a un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sincero, autentico, desiderio di raccontare il sacro anche come paradigma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dell’uomo nella storia, le opere proposte dimostrano la costante attitudine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dell’arte figurativa italiana di porsi a confronto con i modelli del passato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della nostra, sempre viva e grande, tradizione artistica.</w:t>
      </w:r>
    </w:p>
    <w:p w14:paraId="1EBA92BF" w14:textId="05415B3D" w:rsidR="00B52810" w:rsidRP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Celebriamo così i nomi più noti, come quelli di Carlo Carrà, Felice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Casorati, Pericle Fazzini, Renato Guttuso, Giacomo Manzù e Marino Marini,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di cui sono esposti capolavori che hanno segnato il percorso tortuoso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 complesso dell’arte sacra italiana tra la stagione delle avanguardie e il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secondo dopoguerra – percorso sapientemente ricostruito dal saggio di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Micol Forti in catalogo – assieme ad altri artisti meno noti o sconosciuti al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grande pubblico ma di straordinario interesse, come il milanese Aldo Carpi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 il piemontese Felice Carena, artisti molto amati da Paolo VI e pervasi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da una fortissima spiritualità; il perugino Gerardo Dottori, autore di quella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che possiamo definire la prima opera d’arte religiosa futurista, la potente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i/>
          <w:iCs/>
          <w:color w:val="1D1D1B"/>
          <w:sz w:val="24"/>
          <w:szCs w:val="24"/>
        </w:rPr>
        <w:t xml:space="preserve">Crocifissione </w:t>
      </w:r>
      <w:r w:rsidRPr="00B52810">
        <w:rPr>
          <w:rFonts w:cstheme="minorHAnsi"/>
          <w:color w:val="1D1D1B"/>
          <w:sz w:val="24"/>
          <w:szCs w:val="24"/>
        </w:rPr>
        <w:t>del 1927; il marchigiano e milanese d’adozione Giuseppe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 xml:space="preserve">Montanari, il cui spiazzante </w:t>
      </w:r>
      <w:r w:rsidRPr="00B52810">
        <w:rPr>
          <w:rFonts w:cstheme="minorHAnsi"/>
          <w:i/>
          <w:iCs/>
          <w:color w:val="1D1D1B"/>
          <w:sz w:val="24"/>
          <w:szCs w:val="24"/>
        </w:rPr>
        <w:t xml:space="preserve">Bacio di Giuda </w:t>
      </w:r>
      <w:r w:rsidRPr="00B52810">
        <w:rPr>
          <w:rFonts w:cstheme="minorHAnsi"/>
          <w:color w:val="1D1D1B"/>
          <w:sz w:val="24"/>
          <w:szCs w:val="24"/>
        </w:rPr>
        <w:t>abbiamo scelto come immagine-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guida dell’esposizione; il ligure Antonio Giuseppe Santagata, campione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 misticismo esoterico di primo Novecento, sino ad arrivare alla grande,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 xml:space="preserve">caotica ed esplosiva </w:t>
      </w:r>
      <w:r w:rsidRPr="00B52810">
        <w:rPr>
          <w:rFonts w:cstheme="minorHAnsi"/>
          <w:i/>
          <w:iCs/>
          <w:color w:val="1D1D1B"/>
          <w:sz w:val="24"/>
          <w:szCs w:val="24"/>
        </w:rPr>
        <w:t xml:space="preserve">Crocifissione, omaggio a Martin </w:t>
      </w:r>
      <w:r w:rsidRPr="00B52810">
        <w:rPr>
          <w:rFonts w:cstheme="minorHAnsi"/>
          <w:i/>
          <w:iCs/>
          <w:color w:val="1D1D1B"/>
          <w:sz w:val="24"/>
          <w:szCs w:val="24"/>
        </w:rPr>
        <w:lastRenderedPageBreak/>
        <w:t xml:space="preserve">Luther King Jr. </w:t>
      </w:r>
      <w:r w:rsidRPr="00B52810">
        <w:rPr>
          <w:rFonts w:cstheme="minorHAnsi"/>
          <w:color w:val="1D1D1B"/>
          <w:sz w:val="24"/>
          <w:szCs w:val="24"/>
        </w:rPr>
        <w:t>di Mirko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Basaldella, eseguita a New York in pieno ’68 ma ancora in profondissimo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dialogo con il linguaggio figurativo rinascimentale.</w:t>
      </w:r>
    </w:p>
    <w:p w14:paraId="309005F5" w14:textId="1C8113D0" w:rsidR="00B52810" w:rsidRP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Le schede in catalogo, curate dal gruppo di lavoro della Collezione di Arte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Moderna e Contemporanea dei Musei Vaticani, Francesca Boschetti 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Rosalia Pagliarani, con la vivace e talentuosa collaborazione delle giovani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 xml:space="preserve">studiose Matilde Coletti e Livia </w:t>
      </w:r>
      <w:proofErr w:type="spellStart"/>
      <w:r w:rsidRPr="00B52810">
        <w:rPr>
          <w:rFonts w:cstheme="minorHAnsi"/>
          <w:color w:val="1D1D1B"/>
          <w:sz w:val="24"/>
          <w:szCs w:val="24"/>
        </w:rPr>
        <w:t>Ficoroni</w:t>
      </w:r>
      <w:proofErr w:type="spellEnd"/>
      <w:r w:rsidRPr="00B52810">
        <w:rPr>
          <w:rFonts w:cstheme="minorHAnsi"/>
          <w:color w:val="1D1D1B"/>
          <w:sz w:val="24"/>
          <w:szCs w:val="24"/>
        </w:rPr>
        <w:t>, hanno permesso nuovi affondi 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piccole scoperte o presentano opere quasi del tutto inedite come la corposa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 xml:space="preserve">selezione di </w:t>
      </w:r>
      <w:r w:rsidRPr="00B52810">
        <w:rPr>
          <w:rFonts w:cstheme="minorHAnsi"/>
          <w:i/>
          <w:iCs/>
          <w:color w:val="1D1D1B"/>
          <w:sz w:val="24"/>
          <w:szCs w:val="24"/>
        </w:rPr>
        <w:t>Studi per la Via Crucis della chiesa del Sacro Cuore a Ponte</w:t>
      </w:r>
      <w:r>
        <w:rPr>
          <w:rFonts w:cstheme="minorHAnsi"/>
          <w:i/>
          <w:iCs/>
          <w:color w:val="1D1D1B"/>
          <w:sz w:val="24"/>
          <w:szCs w:val="24"/>
        </w:rPr>
        <w:t xml:space="preserve"> </w:t>
      </w:r>
      <w:r w:rsidRPr="00B52810">
        <w:rPr>
          <w:rFonts w:cstheme="minorHAnsi"/>
          <w:i/>
          <w:iCs/>
          <w:color w:val="1D1D1B"/>
          <w:sz w:val="24"/>
          <w:szCs w:val="24"/>
        </w:rPr>
        <w:t>Lambro, Milano</w:t>
      </w:r>
      <w:r w:rsidRPr="00B52810">
        <w:rPr>
          <w:rFonts w:cstheme="minorHAnsi"/>
          <w:color w:val="1D1D1B"/>
          <w:sz w:val="24"/>
          <w:szCs w:val="24"/>
        </w:rPr>
        <w:t>, donati ai Musei Vaticani da Guido Strazza nel 2017 ed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esposti insieme per la prima volta in questa occasione.</w:t>
      </w:r>
    </w:p>
    <w:p w14:paraId="705D1A3A" w14:textId="13D2EA1A" w:rsidR="00B52810" w:rsidRP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Il viaggio artistico e spirituale dentro la figura di Cristo crocifisso e risorto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trova uno spiazzante e intensissimo contrappunto nelle parole che il cardinale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 xml:space="preserve">José Tolentino de </w:t>
      </w:r>
      <w:proofErr w:type="spellStart"/>
      <w:r w:rsidRPr="00B52810">
        <w:rPr>
          <w:rFonts w:cstheme="minorHAnsi"/>
          <w:color w:val="1D1D1B"/>
          <w:sz w:val="24"/>
          <w:szCs w:val="24"/>
        </w:rPr>
        <w:t>Mendonça</w:t>
      </w:r>
      <w:proofErr w:type="spellEnd"/>
      <w:r w:rsidRPr="00B52810">
        <w:rPr>
          <w:rFonts w:cstheme="minorHAnsi"/>
          <w:color w:val="1D1D1B"/>
          <w:sz w:val="24"/>
          <w:szCs w:val="24"/>
        </w:rPr>
        <w:t>, teologo e poeta, Bibliotecario e Archivista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di Santa Romana Chiesa, ha voluto donarci in apertura di catalogo, 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delle quali, assieme alle curatrici, lo ringrazio profondamente.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Desidero manifestare la mia riconoscenza anche a tutti coloro che a vario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titolo hanno contribuito alla riuscita di questo terzo appuntamento milanese,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 in particolare alla sua più fervida promotrice nonché padrona di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casa, il Direttore del Museo Diocesano Carlo Maria Martini, Nadia Righi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che in questi anni, assieme a tutto il suo gruppo di lavoro, ha saputo tessere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e dare nuovo slancio al dialogo artistico e spirituale tra due grandi città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ricche di tradizione e fede come Roma e Milano.</w:t>
      </w:r>
    </w:p>
    <w:p w14:paraId="0313C211" w14:textId="79134701" w:rsidR="00D847E1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B52810">
        <w:rPr>
          <w:rFonts w:cstheme="minorHAnsi"/>
          <w:color w:val="1D1D1B"/>
          <w:sz w:val="24"/>
          <w:szCs w:val="24"/>
        </w:rPr>
        <w:t>Sono grata alla Direzione dei Musei, al Vicedirettore, monsignor Paolo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Nicolini, a Guido Cornini, Responsabile del Dipartimento delle Arti,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al Segretario Roberto Romano, alla Curatrice del Reparto e della mostra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Micol Forti, ai Responsabili dei Laboratori Restauro Dipinti e Materiali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lignei, Restauro Opere su Carta, Restauro Metalli e Ceramiche, Restauro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Materiali lapidei dei Musei Vaticani, e a tutti i restauratori coinvolti nei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lavori sulle opere propedeutici all’esposizione, i cui nomi sono ricordati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nel colophon: senza il loro instancabile supporto nessuna delle attività dei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B52810">
        <w:rPr>
          <w:rFonts w:cstheme="minorHAnsi"/>
          <w:color w:val="1D1D1B"/>
          <w:sz w:val="24"/>
          <w:szCs w:val="24"/>
        </w:rPr>
        <w:t>Musei del Papa potrebbe essere portata a termine.</w:t>
      </w:r>
    </w:p>
    <w:p w14:paraId="7397F7EF" w14:textId="77777777" w:rsid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</w:p>
    <w:p w14:paraId="0488D298" w14:textId="6DA2D7C5" w:rsidR="00770AAC" w:rsidRPr="00770AAC" w:rsidRDefault="00770AAC" w:rsidP="00770AAC">
      <w:pPr>
        <w:pStyle w:val="Nessunaspaziatura"/>
        <w:rPr>
          <w:rFonts w:cstheme="minorHAnsi"/>
          <w:color w:val="1D1D1B"/>
          <w:sz w:val="24"/>
          <w:szCs w:val="24"/>
        </w:rPr>
      </w:pPr>
      <w:r>
        <w:rPr>
          <w:rFonts w:cstheme="minorHAnsi"/>
          <w:color w:val="1D1D1B"/>
          <w:sz w:val="24"/>
          <w:szCs w:val="24"/>
        </w:rPr>
        <w:t xml:space="preserve">Milano, 10 </w:t>
      </w:r>
      <w:r w:rsidR="00A84AA2">
        <w:rPr>
          <w:rFonts w:cstheme="minorHAnsi"/>
          <w:color w:val="1D1D1B"/>
          <w:sz w:val="24"/>
          <w:szCs w:val="24"/>
        </w:rPr>
        <w:t>marzo</w:t>
      </w:r>
      <w:r>
        <w:rPr>
          <w:rFonts w:cstheme="minorHAnsi"/>
          <w:color w:val="1D1D1B"/>
          <w:sz w:val="24"/>
          <w:szCs w:val="24"/>
        </w:rPr>
        <w:t xml:space="preserve"> 2022</w:t>
      </w:r>
    </w:p>
    <w:sectPr w:rsidR="00770AAC" w:rsidRPr="00770AAC" w:rsidSect="005F36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92"/>
    <w:rsid w:val="005F3628"/>
    <w:rsid w:val="00654854"/>
    <w:rsid w:val="00770AAC"/>
    <w:rsid w:val="00A84AA2"/>
    <w:rsid w:val="00B52810"/>
    <w:rsid w:val="00D40B92"/>
    <w:rsid w:val="00D8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90CF"/>
  <w15:chartTrackingRefBased/>
  <w15:docId w15:val="{2CBE61BE-E703-4287-8A2D-4639A1F6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70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304D2-F339-4336-AF8F-07D3C350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428A9C-DBB2-4727-824F-94DCA057E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983C-A376-42DE-A8D9-6DEE31196C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3</cp:revision>
  <cp:lastPrinted>2022-03-09T09:06:00Z</cp:lastPrinted>
  <dcterms:created xsi:type="dcterms:W3CDTF">2022-03-09T08:58:00Z</dcterms:created>
  <dcterms:modified xsi:type="dcterms:W3CDTF">2022-03-09T09:08:00Z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