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770AAC" w:rsidRPr="00393031" w14:paraId="3EE19EBC" w14:textId="77777777" w:rsidTr="00770AAC">
        <w:tc>
          <w:tcPr>
            <w:tcW w:w="4823" w:type="dxa"/>
            <w:shd w:val="clear" w:color="auto" w:fill="auto"/>
            <w:vAlign w:val="center"/>
          </w:tcPr>
          <w:p w14:paraId="475EE5C6" w14:textId="5EC27FAD" w:rsidR="00770AAC" w:rsidRPr="00393031" w:rsidRDefault="00770AAC" w:rsidP="00E16CA3">
            <w:pPr>
              <w:spacing w:after="0"/>
              <w:rPr>
                <w:b/>
                <w:sz w:val="28"/>
              </w:rPr>
            </w:pPr>
            <w:r w:rsidRPr="00393031">
              <w:rPr>
                <w:b/>
                <w:noProof/>
                <w:sz w:val="28"/>
              </w:rPr>
              <w:drawing>
                <wp:inline distT="0" distB="0" distL="0" distR="0" wp14:anchorId="45414C33" wp14:editId="673B0883">
                  <wp:extent cx="914400" cy="75184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1EA1C3CF" w14:textId="031E6025" w:rsidR="00770AAC" w:rsidRPr="00393031" w:rsidRDefault="00770AAC" w:rsidP="00E16CA3">
            <w:pPr>
              <w:spacing w:after="0"/>
              <w:jc w:val="right"/>
              <w:rPr>
                <w:b/>
                <w:sz w:val="28"/>
              </w:rPr>
            </w:pPr>
            <w:r w:rsidRPr="00393031">
              <w:rPr>
                <w:b/>
                <w:noProof/>
                <w:sz w:val="28"/>
              </w:rPr>
              <w:drawing>
                <wp:inline distT="0" distB="0" distL="0" distR="0" wp14:anchorId="751525FA" wp14:editId="6FB80ED8">
                  <wp:extent cx="670560" cy="70612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07547E" w14:textId="226C61FC" w:rsidR="00770AAC" w:rsidRDefault="00770AAC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32F7D3CB" w14:textId="77777777" w:rsidR="00770AAC" w:rsidRDefault="00770AAC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527B9D91" w14:textId="7C628639" w:rsidR="00770AAC" w:rsidRPr="00770AAC" w:rsidRDefault="00770AAC" w:rsidP="00770AAC">
      <w:pPr>
        <w:pStyle w:val="Nessunaspaziatura"/>
        <w:rPr>
          <w:rFonts w:cstheme="minorHAnsi"/>
          <w:b/>
          <w:bCs/>
          <w:color w:val="1D1D1B"/>
          <w:sz w:val="28"/>
          <w:szCs w:val="28"/>
        </w:rPr>
      </w:pPr>
      <w:r w:rsidRPr="00770AAC">
        <w:rPr>
          <w:rFonts w:cstheme="minorHAnsi"/>
          <w:b/>
          <w:bCs/>
          <w:color w:val="1D1D1B"/>
          <w:sz w:val="28"/>
          <w:szCs w:val="28"/>
        </w:rPr>
        <w:t xml:space="preserve">Mons. </w:t>
      </w:r>
      <w:r w:rsidRPr="00770AAC">
        <w:rPr>
          <w:rFonts w:cstheme="minorHAnsi"/>
          <w:b/>
          <w:bCs/>
          <w:color w:val="1D1D1B"/>
          <w:sz w:val="28"/>
          <w:szCs w:val="28"/>
        </w:rPr>
        <w:t>LUCA BRESSAN</w:t>
      </w:r>
    </w:p>
    <w:p w14:paraId="5B00CDBE" w14:textId="3145CC4A" w:rsidR="00770AAC" w:rsidRPr="00770AAC" w:rsidRDefault="00770AAC" w:rsidP="00770AAC">
      <w:pPr>
        <w:pStyle w:val="Nessunaspaziatura"/>
        <w:rPr>
          <w:rFonts w:cstheme="minorHAnsi"/>
          <w:b/>
          <w:bCs/>
          <w:color w:val="1D1D1B"/>
          <w:sz w:val="24"/>
          <w:szCs w:val="24"/>
        </w:rPr>
      </w:pPr>
      <w:r w:rsidRPr="00770AAC">
        <w:rPr>
          <w:rFonts w:cstheme="minorHAnsi"/>
          <w:b/>
          <w:bCs/>
          <w:color w:val="1D1D1B"/>
          <w:sz w:val="28"/>
          <w:szCs w:val="28"/>
        </w:rPr>
        <w:t>Vicario episcopale per la Cultura, la Carità, la Missione e l’Azione sociale</w:t>
      </w:r>
    </w:p>
    <w:p w14:paraId="6AD5B309" w14:textId="77777777" w:rsidR="00770AAC" w:rsidRDefault="00770AAC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5483E202" w14:textId="178EC5DC" w:rsidR="00D847E1" w:rsidRPr="00770AAC" w:rsidRDefault="00D847E1" w:rsidP="00770AAC">
      <w:pPr>
        <w:pStyle w:val="Nessunaspaziatura"/>
        <w:rPr>
          <w:rFonts w:cstheme="minorHAnsi"/>
          <w:b/>
          <w:i/>
          <w:iCs/>
          <w:color w:val="1D1D1B"/>
          <w:sz w:val="28"/>
          <w:szCs w:val="28"/>
        </w:rPr>
      </w:pPr>
      <w:r w:rsidRPr="00770AAC">
        <w:rPr>
          <w:rFonts w:cstheme="minorHAnsi"/>
          <w:bCs/>
          <w:i/>
          <w:iCs/>
          <w:color w:val="1D1D1B"/>
          <w:sz w:val="28"/>
          <w:szCs w:val="28"/>
        </w:rPr>
        <w:t>Accorsi a questo spettacolo</w:t>
      </w:r>
      <w:r w:rsidR="00770AAC">
        <w:rPr>
          <w:rFonts w:cstheme="minorHAnsi"/>
          <w:bCs/>
          <w:i/>
          <w:iCs/>
          <w:color w:val="1D1D1B"/>
          <w:sz w:val="28"/>
          <w:szCs w:val="28"/>
        </w:rPr>
        <w:t xml:space="preserve"> </w:t>
      </w:r>
    </w:p>
    <w:p w14:paraId="72EA6717" w14:textId="77777777" w:rsidR="00D847E1" w:rsidRPr="00770AAC" w:rsidRDefault="00D847E1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19C83AA9" w14:textId="4AF7E58A" w:rsidR="00D847E1" w:rsidRPr="00770AAC" w:rsidRDefault="00D847E1" w:rsidP="00770AAC">
      <w:pPr>
        <w:pStyle w:val="Nessunaspaziatura"/>
        <w:jc w:val="both"/>
        <w:rPr>
          <w:rFonts w:cstheme="minorHAnsi"/>
          <w:color w:val="1D1D1B"/>
          <w:sz w:val="24"/>
          <w:szCs w:val="24"/>
        </w:rPr>
      </w:pPr>
      <w:r w:rsidRPr="00770AAC">
        <w:rPr>
          <w:rFonts w:cstheme="minorHAnsi"/>
          <w:color w:val="1D1D1B"/>
          <w:sz w:val="24"/>
          <w:szCs w:val="24"/>
        </w:rPr>
        <w:t>Ci sono spettacoli che non possono essere persi, per nulla al mondo. Di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questo parere è anche l’evangelista Luca che chiude così il suo racconto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della passione del Figlio di Dio, morto di “troppo” amore per noi, risuscitato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alla vita proprio da quello stesso amore che gli ha permesso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di sconfiggere la morte con le sue stesse armi. “Anche tutte le folle – ci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racconta Luca nel suo Vangelo – che erano accorse a questo spettacolo,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ripensando a quanto era accaduto, se ne tornavano percuotendosi il petto”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(Lc 23,48).</w:t>
      </w:r>
    </w:p>
    <w:p w14:paraId="6AED5C21" w14:textId="28C2E3EA" w:rsidR="00D847E1" w:rsidRPr="00770AAC" w:rsidRDefault="00D847E1" w:rsidP="00770AAC">
      <w:pPr>
        <w:pStyle w:val="Nessunaspaziatura"/>
        <w:jc w:val="both"/>
        <w:rPr>
          <w:rFonts w:cstheme="minorHAnsi"/>
          <w:color w:val="1D1D1B"/>
          <w:sz w:val="24"/>
          <w:szCs w:val="24"/>
        </w:rPr>
      </w:pPr>
      <w:r w:rsidRPr="00770AAC">
        <w:rPr>
          <w:rFonts w:cstheme="minorHAnsi"/>
          <w:color w:val="1D1D1B"/>
          <w:sz w:val="24"/>
          <w:szCs w:val="24"/>
        </w:rPr>
        <w:t>L’osservazione dell’evangelista racconta bene il senso della mostra che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state per iniziare a contemplare, frutto della bellissima – e ormai anche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ben radicata – collaborazione con i Musei Vaticani.</w:t>
      </w:r>
    </w:p>
    <w:p w14:paraId="01C16C55" w14:textId="05138E47" w:rsidR="00D847E1" w:rsidRPr="00770AAC" w:rsidRDefault="00D847E1" w:rsidP="00770AAC">
      <w:pPr>
        <w:pStyle w:val="Nessunaspaziatura"/>
        <w:jc w:val="both"/>
        <w:rPr>
          <w:rFonts w:cstheme="minorHAnsi"/>
          <w:color w:val="1D1D1B"/>
          <w:sz w:val="24"/>
          <w:szCs w:val="24"/>
        </w:rPr>
      </w:pPr>
      <w:r w:rsidRPr="00770AAC">
        <w:rPr>
          <w:rFonts w:cstheme="minorHAnsi"/>
          <w:color w:val="1D1D1B"/>
          <w:sz w:val="24"/>
          <w:szCs w:val="24"/>
        </w:rPr>
        <w:t>Sentitevi invitati a vedere uno spettacolo! Uno spettacolo così ricco che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ha saputo generare migliaia di modi per raccontarlo e raffigurarlo. Uno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spettacolo che si serve dello spettacolo, delle arti, dei sensi e dell’immaginazione,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dell’emozione e del fascino, per mostrare non soltanto la bellezza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ma la sua origine, la sua fonte.</w:t>
      </w:r>
    </w:p>
    <w:p w14:paraId="5A4B3DB5" w14:textId="6062295E" w:rsidR="00D847E1" w:rsidRPr="00770AAC" w:rsidRDefault="00D847E1" w:rsidP="00770AAC">
      <w:pPr>
        <w:pStyle w:val="Nessunaspaziatura"/>
        <w:jc w:val="both"/>
        <w:rPr>
          <w:rFonts w:cstheme="minorHAnsi"/>
          <w:color w:val="1D1D1B"/>
          <w:sz w:val="24"/>
          <w:szCs w:val="24"/>
        </w:rPr>
      </w:pPr>
      <w:r w:rsidRPr="00770AAC">
        <w:rPr>
          <w:rFonts w:cstheme="minorHAnsi"/>
          <w:color w:val="1D1D1B"/>
          <w:sz w:val="24"/>
          <w:szCs w:val="24"/>
        </w:rPr>
        <w:t>La bellezza che salva il mondo è l’amore che condivide il dolore. Abbiamo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imparato dal cardinale Carlo Maria Martini il senso ultimo e profondo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di queste parole.</w:t>
      </w:r>
    </w:p>
    <w:p w14:paraId="2AB8D6F5" w14:textId="4DC0582D" w:rsidR="00D847E1" w:rsidRPr="00770AAC" w:rsidRDefault="00D847E1" w:rsidP="00770AAC">
      <w:pPr>
        <w:pStyle w:val="Nessunaspaziatura"/>
        <w:jc w:val="both"/>
        <w:rPr>
          <w:rFonts w:cstheme="minorHAnsi"/>
          <w:color w:val="1D1D1B"/>
          <w:sz w:val="24"/>
          <w:szCs w:val="24"/>
        </w:rPr>
      </w:pPr>
      <w:r w:rsidRPr="00770AAC">
        <w:rPr>
          <w:rFonts w:cstheme="minorHAnsi"/>
          <w:color w:val="1D1D1B"/>
          <w:sz w:val="24"/>
          <w:szCs w:val="24"/>
        </w:rPr>
        <w:t>Ce le ha spiegate mostrandole applicate a quel grande spettacolo che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è la croce di Cristo: “La croce – ci dice Martini – è rivelazione della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Trinità nell’ora della ‘consegna’ e dell’abbandono: il Padre è Colui che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consegna alla morte il Figlio per noi; il Figlio è colui che si consegna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per amore nostro; lo Spirito è il Consolatore nell’abbandono, consegnato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dal Figlio al Padre nell’ora della Croce (</w:t>
      </w:r>
      <w:r w:rsidRPr="00770AAC">
        <w:rPr>
          <w:rFonts w:cstheme="minorHAnsi"/>
          <w:i/>
          <w:iCs/>
          <w:color w:val="1D1D1B"/>
          <w:sz w:val="24"/>
          <w:szCs w:val="24"/>
        </w:rPr>
        <w:t>E chinato il capo, diede lo</w:t>
      </w:r>
      <w:r w:rsidR="00770AAC" w:rsidRPr="00770AAC">
        <w:rPr>
          <w:rFonts w:cstheme="minorHAnsi"/>
          <w:i/>
          <w:iCs/>
          <w:color w:val="1D1D1B"/>
          <w:sz w:val="24"/>
          <w:szCs w:val="24"/>
        </w:rPr>
        <w:t xml:space="preserve"> </w:t>
      </w:r>
      <w:r w:rsidRPr="00770AAC">
        <w:rPr>
          <w:rFonts w:cstheme="minorHAnsi"/>
          <w:i/>
          <w:iCs/>
          <w:color w:val="1D1D1B"/>
          <w:sz w:val="24"/>
          <w:szCs w:val="24"/>
        </w:rPr>
        <w:t>Spirito</w:t>
      </w:r>
      <w:r w:rsidRPr="00770AAC">
        <w:rPr>
          <w:rFonts w:cstheme="minorHAnsi"/>
          <w:color w:val="1D1D1B"/>
          <w:sz w:val="24"/>
          <w:szCs w:val="24"/>
        </w:rPr>
        <w:t>: Gv 19,30; cfr. Eb 9,14) e dal Padre al Figlio nella resurrezione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(cfr. Rm 1,4).</w:t>
      </w:r>
    </w:p>
    <w:p w14:paraId="6F8E9BDE" w14:textId="5A52AEB1" w:rsidR="00D847E1" w:rsidRPr="00770AAC" w:rsidRDefault="00D847E1" w:rsidP="00770AAC">
      <w:pPr>
        <w:pStyle w:val="Nessunaspaziatura"/>
        <w:jc w:val="both"/>
        <w:rPr>
          <w:rFonts w:cstheme="minorHAnsi"/>
          <w:color w:val="1D1D1B"/>
          <w:sz w:val="24"/>
          <w:szCs w:val="24"/>
        </w:rPr>
      </w:pPr>
      <w:r w:rsidRPr="00770AAC">
        <w:rPr>
          <w:rFonts w:cstheme="minorHAnsi"/>
          <w:color w:val="1D1D1B"/>
          <w:sz w:val="24"/>
          <w:szCs w:val="24"/>
        </w:rPr>
        <w:t>Sulla Croce il dolore e la morte entrano in Dio per amore dei senza Dio: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la sofferenza divina, la morte in Dio, la debolezza dell’Onnipotente sono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altrettante rivelazioni del Suo amore per gli uomini. È questo amore incredibile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e insieme mite, attraente che ci coinvolge e ci affascina, quello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che esprime la vera bellezza che salva. Questo amore è fuoco divorante,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a esso non si resiste se non con una ostinata incredulità o con un persistente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rifiuto a mettersi in silenzio davanti al suo mistero, cioè col rifiuto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della dimensione contemplativa della vita”.</w:t>
      </w:r>
    </w:p>
    <w:p w14:paraId="6B891E95" w14:textId="1EB5DEDF" w:rsidR="00D847E1" w:rsidRPr="00770AAC" w:rsidRDefault="00D847E1" w:rsidP="00770AAC">
      <w:pPr>
        <w:pStyle w:val="Nessunaspaziatura"/>
        <w:jc w:val="both"/>
        <w:rPr>
          <w:rFonts w:cstheme="minorHAnsi"/>
          <w:color w:val="1D1D1B"/>
          <w:sz w:val="24"/>
          <w:szCs w:val="24"/>
        </w:rPr>
      </w:pPr>
      <w:r w:rsidRPr="00770AAC">
        <w:rPr>
          <w:rFonts w:cstheme="minorHAnsi"/>
          <w:color w:val="1D1D1B"/>
          <w:sz w:val="24"/>
          <w:szCs w:val="24"/>
        </w:rPr>
        <w:t>Auguro a ogni visitatore di lasciarsi attrarre dentro questo gioco di affascinamento.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Potremo così assumere la particolare interpretazione che il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singolo artista ci vuole comunicare di questo grande dramma che guarisce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la storia dell’umanità come della porta d’ingresso che ci introduce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in modo spedito direttamente in prima fila allo “spettacolo” della croce,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perché anche l’emozione possa diventare un canale dentro il quale passa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l’amore di Dio che ci converte.</w:t>
      </w:r>
    </w:p>
    <w:p w14:paraId="0313C211" w14:textId="64887225" w:rsidR="00D847E1" w:rsidRDefault="00D847E1" w:rsidP="00770AAC">
      <w:pPr>
        <w:pStyle w:val="Nessunaspaziatura"/>
        <w:jc w:val="both"/>
        <w:rPr>
          <w:rFonts w:cstheme="minorHAnsi"/>
          <w:color w:val="1D1D1B"/>
          <w:sz w:val="24"/>
          <w:szCs w:val="24"/>
        </w:rPr>
      </w:pPr>
      <w:r w:rsidRPr="00770AAC">
        <w:rPr>
          <w:rFonts w:cstheme="minorHAnsi"/>
          <w:color w:val="1D1D1B"/>
          <w:sz w:val="24"/>
          <w:szCs w:val="24"/>
        </w:rPr>
        <w:t>Non mi resta che chiudere queste brevi parole tornando al Vangelo di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Luca: auguro che il frutto di questo esercizio di contemplazione sia quel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“battersi il petto” che ognuno di noi sente come bisogno nei momenti in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cui intende rilanciare la propria vita, dandole una svolta. Buona visione,</w:t>
      </w:r>
      <w:r w:rsidR="00770AAC">
        <w:rPr>
          <w:rFonts w:cstheme="minorHAnsi"/>
          <w:color w:val="1D1D1B"/>
          <w:sz w:val="24"/>
          <w:szCs w:val="24"/>
        </w:rPr>
        <w:t xml:space="preserve"> </w:t>
      </w:r>
      <w:r w:rsidRPr="00770AAC">
        <w:rPr>
          <w:rFonts w:cstheme="minorHAnsi"/>
          <w:color w:val="1D1D1B"/>
          <w:sz w:val="24"/>
          <w:szCs w:val="24"/>
        </w:rPr>
        <w:t>ovvero buona conversione. Del cuore, della vita.</w:t>
      </w:r>
    </w:p>
    <w:p w14:paraId="618FE515" w14:textId="68544931" w:rsidR="00770AAC" w:rsidRDefault="00770AAC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0488D298" w14:textId="6DA2D7C5" w:rsidR="00770AAC" w:rsidRPr="00770AAC" w:rsidRDefault="00770AAC" w:rsidP="00770AAC">
      <w:pPr>
        <w:pStyle w:val="Nessunaspaziatura"/>
        <w:rPr>
          <w:rFonts w:cstheme="minorHAnsi"/>
          <w:color w:val="1D1D1B"/>
          <w:sz w:val="24"/>
          <w:szCs w:val="24"/>
        </w:rPr>
      </w:pPr>
      <w:r>
        <w:rPr>
          <w:rFonts w:cstheme="minorHAnsi"/>
          <w:color w:val="1D1D1B"/>
          <w:sz w:val="24"/>
          <w:szCs w:val="24"/>
        </w:rPr>
        <w:t xml:space="preserve">Milano, 10 </w:t>
      </w:r>
      <w:r w:rsidR="00A84AA2">
        <w:rPr>
          <w:rFonts w:cstheme="minorHAnsi"/>
          <w:color w:val="1D1D1B"/>
          <w:sz w:val="24"/>
          <w:szCs w:val="24"/>
        </w:rPr>
        <w:t>marzo</w:t>
      </w:r>
      <w:r>
        <w:rPr>
          <w:rFonts w:cstheme="minorHAnsi"/>
          <w:color w:val="1D1D1B"/>
          <w:sz w:val="24"/>
          <w:szCs w:val="24"/>
        </w:rPr>
        <w:t xml:space="preserve"> 2022</w:t>
      </w:r>
    </w:p>
    <w:sectPr w:rsidR="00770AAC" w:rsidRPr="00770AAC" w:rsidSect="00770AA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92"/>
    <w:rsid w:val="00654854"/>
    <w:rsid w:val="00770AAC"/>
    <w:rsid w:val="00A84AA2"/>
    <w:rsid w:val="00D40B92"/>
    <w:rsid w:val="00D8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90CF"/>
  <w15:chartTrackingRefBased/>
  <w15:docId w15:val="{2CBE61BE-E703-4287-8A2D-4639A1F6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70A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4A983C-A376-42DE-A8D9-6DEE31196C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428A9C-DBB2-4727-824F-94DCA057E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304D2-F339-4336-AF8F-07D3C350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Carlo Ghielmetti</cp:lastModifiedBy>
  <cp:revision>3</cp:revision>
  <cp:lastPrinted>2022-03-09T08:45:00Z</cp:lastPrinted>
  <dcterms:created xsi:type="dcterms:W3CDTF">2022-03-09T08:40:00Z</dcterms:created>
  <dcterms:modified xsi:type="dcterms:W3CDTF">2022-03-09T08:46:00Z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