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7C2C3" w14:textId="77777777" w:rsidR="00857A92" w:rsidRPr="00857A92" w:rsidRDefault="00857A92" w:rsidP="003914FE">
      <w:pPr>
        <w:spacing w:after="0"/>
        <w:jc w:val="both"/>
        <w:rPr>
          <w:b/>
          <w:bCs/>
          <w:sz w:val="24"/>
          <w:szCs w:val="24"/>
        </w:rPr>
      </w:pPr>
      <w:r w:rsidRPr="00857A92">
        <w:rPr>
          <w:b/>
          <w:bCs/>
          <w:sz w:val="24"/>
          <w:szCs w:val="24"/>
        </w:rPr>
        <w:t xml:space="preserve">TIZIANO VECELLIO </w:t>
      </w:r>
      <w:r w:rsidRPr="00857A92">
        <w:rPr>
          <w:b/>
          <w:bCs/>
          <w:sz w:val="24"/>
          <w:szCs w:val="24"/>
        </w:rPr>
        <w:t>(1490-1576)</w:t>
      </w:r>
    </w:p>
    <w:p w14:paraId="13C95C25" w14:textId="5443FF58" w:rsidR="00274F82" w:rsidRPr="00857A92" w:rsidRDefault="00274F82" w:rsidP="003914FE">
      <w:pPr>
        <w:spacing w:after="0"/>
        <w:jc w:val="both"/>
        <w:rPr>
          <w:b/>
          <w:bCs/>
          <w:sz w:val="24"/>
          <w:szCs w:val="24"/>
        </w:rPr>
      </w:pPr>
      <w:r w:rsidRPr="00857A92">
        <w:rPr>
          <w:b/>
          <w:bCs/>
          <w:sz w:val="24"/>
          <w:szCs w:val="24"/>
        </w:rPr>
        <w:t>Note biografiche</w:t>
      </w:r>
    </w:p>
    <w:p w14:paraId="5B18405D" w14:textId="77777777" w:rsidR="00857A92" w:rsidRPr="00857A92" w:rsidRDefault="00857A92" w:rsidP="00274F82">
      <w:pPr>
        <w:spacing w:after="0"/>
        <w:jc w:val="both"/>
        <w:rPr>
          <w:b/>
          <w:bCs/>
          <w:sz w:val="24"/>
          <w:szCs w:val="24"/>
        </w:rPr>
      </w:pPr>
    </w:p>
    <w:p w14:paraId="35BB991E" w14:textId="1863A330" w:rsidR="0089598E" w:rsidRPr="00857A92" w:rsidRDefault="00857A92" w:rsidP="00274F82">
      <w:pPr>
        <w:spacing w:after="0"/>
        <w:jc w:val="both"/>
        <w:rPr>
          <w:b/>
          <w:bCs/>
          <w:i/>
          <w:iCs/>
          <w:sz w:val="24"/>
          <w:szCs w:val="24"/>
        </w:rPr>
      </w:pPr>
      <w:r w:rsidRPr="00857A92">
        <w:rPr>
          <w:b/>
          <w:bCs/>
          <w:i/>
          <w:iCs/>
          <w:sz w:val="24"/>
          <w:szCs w:val="24"/>
        </w:rPr>
        <w:t>A</w:t>
      </w:r>
      <w:r w:rsidR="00274F82" w:rsidRPr="00857A92">
        <w:rPr>
          <w:b/>
          <w:bCs/>
          <w:i/>
          <w:iCs/>
          <w:sz w:val="24"/>
          <w:szCs w:val="24"/>
        </w:rPr>
        <w:t xml:space="preserve"> cura di Alessia </w:t>
      </w:r>
      <w:proofErr w:type="spellStart"/>
      <w:r w:rsidR="00274F82" w:rsidRPr="00857A92">
        <w:rPr>
          <w:b/>
          <w:bCs/>
          <w:i/>
          <w:iCs/>
          <w:sz w:val="24"/>
          <w:szCs w:val="24"/>
        </w:rPr>
        <w:t>Devitini</w:t>
      </w:r>
      <w:proofErr w:type="spellEnd"/>
    </w:p>
    <w:p w14:paraId="4B633BA8" w14:textId="77777777" w:rsidR="00274F82" w:rsidRDefault="00274F82" w:rsidP="00274F82">
      <w:pPr>
        <w:spacing w:after="0"/>
        <w:jc w:val="both"/>
        <w:rPr>
          <w:sz w:val="20"/>
          <w:szCs w:val="20"/>
        </w:rPr>
      </w:pPr>
    </w:p>
    <w:p w14:paraId="21809002" w14:textId="1A9F5824" w:rsidR="00274F82" w:rsidRPr="00274F82" w:rsidRDefault="00274F82" w:rsidP="00274F82">
      <w:pPr>
        <w:spacing w:after="0"/>
        <w:jc w:val="both"/>
        <w:rPr>
          <w:sz w:val="20"/>
          <w:szCs w:val="20"/>
        </w:rPr>
      </w:pPr>
      <w:r w:rsidRPr="00274F82">
        <w:rPr>
          <w:sz w:val="20"/>
          <w:szCs w:val="20"/>
        </w:rPr>
        <w:t>Protagonista indiscusso della scena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artistica italiana ed europea del Cinquecento,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 xml:space="preserve">Tiziano </w:t>
      </w:r>
      <w:proofErr w:type="spellStart"/>
      <w:r w:rsidRPr="00274F82">
        <w:rPr>
          <w:sz w:val="20"/>
          <w:szCs w:val="20"/>
        </w:rPr>
        <w:t>Vecellio</w:t>
      </w:r>
      <w:proofErr w:type="spellEnd"/>
      <w:r w:rsidRPr="00274F82">
        <w:rPr>
          <w:sz w:val="20"/>
          <w:szCs w:val="20"/>
        </w:rPr>
        <w:t xml:space="preserve"> è originario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di Pieve di Cadore, dove nasce in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una notabile e agiata famiglia locale;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incerta la sua data di nascita, che la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tradizione colloca nel 1477 in base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 una dichiarazione del pittore che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in una lettera a Filippo II nel 1571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afferma di avere 95 anni. In realtà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quella lettera oggi non viene più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considerata attendibile, in quanto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Tiziano avrebbe aumentato i suoi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anni per commuovere il sovrano 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indurlo a pagare quanto dovuto per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i suoi dipinti. La data di nascita è ora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collocata da parte della critica fra il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1488 e il 1490, da altri studiosi fra il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1480 e il 1485.</w:t>
      </w:r>
    </w:p>
    <w:p w14:paraId="11C92FE7" w14:textId="0D3691BE" w:rsidR="00274F82" w:rsidRPr="00274F82" w:rsidRDefault="00274F82" w:rsidP="00274F82">
      <w:pPr>
        <w:spacing w:after="0"/>
        <w:jc w:val="both"/>
        <w:rPr>
          <w:sz w:val="20"/>
          <w:szCs w:val="20"/>
        </w:rPr>
      </w:pPr>
      <w:r w:rsidRPr="00274F82">
        <w:rPr>
          <w:sz w:val="20"/>
          <w:szCs w:val="20"/>
        </w:rPr>
        <w:t>Arrivato a Venezia giovanissimo,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Tiziano giunge in città nel momento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del suo massimo splendore: al centro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dei commerci del Mediterraneo,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la Serenissima presenta anche una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vita culturale e artistica in grande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fermento e vitalità. Qui viene a contatto,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oltre che con le nuove correnti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pittoriche d’Oltralpe che circolavano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in laguna, con i grandi maestri locali: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Vittore Carpaccio, Sebastiano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del Piombo, ma soprattutto Gentile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 Giovanni Bellini e Giorgione. La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prima opera di Tiziano è Il vescovo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Jacopo Pesaro presentato a san Pietro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da papa Alessandro VI (Anversa,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Museo delle Belle Arti), databile al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1503-1506, dipinto che testimonia la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precocità del pittore che, a circa 20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anni, riesce a ottenere una commissione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di tale prestigio.</w:t>
      </w:r>
    </w:p>
    <w:p w14:paraId="76A4600E" w14:textId="09C80DD2" w:rsidR="00274F82" w:rsidRPr="00274F82" w:rsidRDefault="00274F82" w:rsidP="00274F82">
      <w:pPr>
        <w:spacing w:after="0"/>
        <w:jc w:val="both"/>
        <w:rPr>
          <w:sz w:val="20"/>
          <w:szCs w:val="20"/>
        </w:rPr>
      </w:pPr>
      <w:r w:rsidRPr="00274F82">
        <w:rPr>
          <w:sz w:val="20"/>
          <w:szCs w:val="20"/>
        </w:rPr>
        <w:t>Il suo primo incarico ufficiale per la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Serenissima sono gli affreschi per la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facciata del Fondaco del Tedeschi,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del 1507-1508: pochi sono i frammenti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superstiti di un programma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iconografico complesso ed esteso, in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cui Tiziano già rivela la sua autonomia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da Giorgione. Del 1510 circa è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la Pala di San Marco (Venezia, Santa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Maria della Salute), in cui Tiziano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si fa interprete della celebrazione di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Venezia, così come nei successivi affreschi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eseguiti nel 1511 nella Scuola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di Sant’Antonio a Padova. Nel 1513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l’artista si offre al Consiglio dei Dieci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come pittore ufficiale della Serenissima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e, mentre si avvia ad assumere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questo prestigioso ruolo, entra anche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in contatto con i patrizi e i ricchi mercanti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dei raffinati circoli umanistici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veneziani. In questi ambienti, in cui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uno dei temi più diffusi è il rapporto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amore e musica, nascono capolavori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come il Concerto campestre (Parigi,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Louvre, 1509-1510) le Tre età (Edimburgo,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National Gallery of Scotland,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1512-1513) o ancora il celebre Amor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sacro e Amor profano (Roma, Galleria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Borghese, 1514-1515), in cui significati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allegorici complessi si coniugano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 un cromatismo brillante e sontuoso.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Ancora al medesimo tema sono dedicati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quattro dipinti commissionati da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Alfonso I, duca di Ferrara; oltre al Festino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degli dèi, dipinto da Bellini e poi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modificato da Tiziano (Washington,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National Gallery), la Festa degli Amori,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Il baccanale (entrambi al Prado di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Madrid) e Bacco e Arianna (Londra,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National Gallery), tutte opere in cui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colori scintillanti, una materia brillante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 temi mitologici si fondono in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effetti di gioiosa vitalità.</w:t>
      </w:r>
    </w:p>
    <w:p w14:paraId="32ABD996" w14:textId="0D29619C" w:rsidR="00274F82" w:rsidRPr="00274F82" w:rsidRDefault="00274F82" w:rsidP="00274F82">
      <w:pPr>
        <w:spacing w:after="0"/>
        <w:jc w:val="both"/>
        <w:rPr>
          <w:sz w:val="20"/>
          <w:szCs w:val="20"/>
        </w:rPr>
      </w:pPr>
      <w:r w:rsidRPr="00274F82">
        <w:rPr>
          <w:sz w:val="20"/>
          <w:szCs w:val="20"/>
        </w:rPr>
        <w:t>Contemporaneamente Tiziano non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trascura le commissioni religiose 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lavora anche alle grandi pale d’altare,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parte importante nella sua produzione.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È grazie alle varie relazioni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pubbliche e private intessute negli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anni dall’artista, non a caso proprio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dopo la scomparsa di Bellini, che gli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vengono affidate importanti commissioni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quali la grandiosa Assunta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per l’altare maggiore di Santa Maria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Gloriosa dei Frari a Venezia, commissionata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nel 1515 e collocata nel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1518, con grande risonanza in tutta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la città per le novità dirompenti sia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dal punto di vista iconografico che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stilistico. Di poco successiva (1518-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1526) è l’altrettanto innovativa Pala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Pesaro, sempre ai Frari, caratterizzata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da un'originalità compositiva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con l’impostazione spaziale laterale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 da una straordinaria orchestrazione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cromatica e luministica. Fra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le altre pale d’altare degli anni venti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si ricordano anche la Madonna in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gloria, san Francesco, san Biagio e il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donatore Alvise Gozzi del 1520, destinata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alla chiesa di San Francesco ad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Ancona, ora nella Pinacoteca Civica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della città, e il Polittico Averoldi nella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collegiata dei Santi Nazaro e Celso 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Brescia (1520-1522).</w:t>
      </w:r>
    </w:p>
    <w:p w14:paraId="18CF9879" w14:textId="1FD74809" w:rsidR="00274F82" w:rsidRPr="00274F82" w:rsidRDefault="00274F82" w:rsidP="00274F82">
      <w:pPr>
        <w:spacing w:after="0"/>
        <w:jc w:val="both"/>
        <w:rPr>
          <w:sz w:val="20"/>
          <w:szCs w:val="20"/>
        </w:rPr>
      </w:pPr>
      <w:r w:rsidRPr="00274F82">
        <w:rPr>
          <w:sz w:val="20"/>
          <w:szCs w:val="20"/>
        </w:rPr>
        <w:t>Nel frattempo Tiziano porta avanti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la propria affermazione come pittore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ufficiale della Serenissima 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insieme allo scrittore Pietro Aretino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 all’architetto Jacopo Sansovino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domina la vita culturale e artistica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veneziana, grazie anche al favore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accordatogli dal doge Andrea Gritti,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eletto nel 1523.</w:t>
      </w:r>
    </w:p>
    <w:p w14:paraId="2CF9EBD3" w14:textId="603663B7" w:rsidR="00274F82" w:rsidRPr="00274F82" w:rsidRDefault="00274F82" w:rsidP="00274F82">
      <w:pPr>
        <w:spacing w:after="0"/>
        <w:jc w:val="both"/>
        <w:rPr>
          <w:sz w:val="20"/>
          <w:szCs w:val="20"/>
        </w:rPr>
      </w:pPr>
      <w:r w:rsidRPr="00274F82">
        <w:rPr>
          <w:sz w:val="20"/>
          <w:szCs w:val="20"/>
        </w:rPr>
        <w:t>Echi sansovineschi sono evidenti nel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grandioso scenario architettonico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della Presentazione di Maria al tempio,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dipinta fra il 1534-1536 per l’Albergo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della Scuola Grande di Santa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Maria della Carità (Venezia, Gallerie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dell’Accademia). Per lo più perdute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 causa dell’incendio del 1577 sono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invece le importanti commissioni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da parte del doge per Palazzo ducale.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Di Gritti resta un intenso ritratto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del 1545 conservato alla National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Gallery di Washington, che si inserisce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nell’importante produzione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ritrattistica del pittore, genere in cui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eccelle. A partire dagli anni trenta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ottiene infatti commissioni di ritratti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fra i potenti di tutta Europa, in particolare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dopo avere realizzato nel 1533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quello di Carlo V con il cane (Madrid,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Prado), il primo di tanti che Tiziano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esegue per l’imperatore e che gli procura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fama e prestigio. Fra i numerosi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ritratti spiccano quelli di Francesco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Maria della Rovere e della moglie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Eleonora Gonzaga (1535-1538),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entrambi agli Uffizi. Oltre ai della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Rovere, committenti anche della celeberrima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Venere di Urbino (Firenze,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Uffizi, 1538), agli Este, agli imperiali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Carlo V, Isabella di Portogallo,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Filippo II e alla cerchia di politici 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funzionari e militari intorno a loro,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 Francesco I di Francia, all’elettore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Giovanni Federico di Sassonia, ai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dogi veneziani, Tiziano ritrae anche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gli intellettuali Pietro Aretino, Pietro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Bembo e Baldassarre Castiglioni.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Si tratta di un’incredibile galleria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di ritratti in cui il pittore rinnova il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tradizionale ritratto di stato inserendo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i personaggi in “storie”, oppure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cogliendo in profondità sfumature 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aspetti delle personalità effigiate.</w:t>
      </w:r>
    </w:p>
    <w:p w14:paraId="52F1979D" w14:textId="786C136C" w:rsidR="00274F82" w:rsidRPr="00274F82" w:rsidRDefault="00274F82" w:rsidP="00274F82">
      <w:pPr>
        <w:spacing w:after="0"/>
        <w:jc w:val="both"/>
        <w:rPr>
          <w:sz w:val="20"/>
          <w:szCs w:val="20"/>
        </w:rPr>
      </w:pPr>
      <w:r w:rsidRPr="00274F82">
        <w:rPr>
          <w:sz w:val="20"/>
          <w:szCs w:val="20"/>
        </w:rPr>
        <w:t>Le opere del pittore fra la fine degli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anni trenta e la metà del decennio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successivo risentono sicuramente di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una nuova attenzione alle esperienze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manieriste toscane e romane. In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particolare egli si confronta con il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linguaggio michelangiolesco di Pordenone,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con le opere di Michelangelo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 Raffaello conosciute tramite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le incisioni, con le architetture di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Sansovino e di Giulio Romano, con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le riflessioni di Serlio e, più in là, con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le eleganze decorative di Francesco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Vasari e Giorgio Vasari; infine con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quanto appreso direttamente durante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il soggiorno romano fra il 1546 e il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1547. L’artista cadorino accoglie tutte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le novità manieristiche, dal plasticismo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dei volumi agli scorci più arditi,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ma li rielabora con la sua sensibilità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che lo porta a un uso naturalistico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della luce e del colore. La sua opera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non è però del tutto compresa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dall’ambiente artistico romano, dove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si dedica soprattutto alla ritrattistica,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dipingendo, fra gli altri, lo straordinario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Ritratto di Paolo III con 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nipoti Alessandro e Ottavio Farnese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(Napoli, Museo e Real Bosco di Capodimonte,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1546). Tornato a Venezia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nel 1546, il pittore mette a frutto le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nuove esperienze romane in opere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come la Pentecoste (Venezia, Santa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Maria della Salute, circa 1546), che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rivela suggestioni architettoniche 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pittoriche romane, ma anche porta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avanti le sue continue sperimentazioni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linguistiche e cromatiche.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Dopo un soggiorno ad Augusta nel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1548 in cui si dedica ancora ai ritratti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di grandi personaggi politici – spicca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fra i tanti lo straordinario Ritratto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di Carlo V a cavallo conservato al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Prado di Madrid –, Tiziano rientra 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Venezia, dove il panorama artistico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sta cambiando e iniziano a emergere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nuovi pittori quali Jacopo Tintoretto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 Paolo Veronese.</w:t>
      </w:r>
    </w:p>
    <w:p w14:paraId="69838E95" w14:textId="0AA1138B" w:rsidR="00274F82" w:rsidRPr="00274F82" w:rsidRDefault="00274F82" w:rsidP="00274F82">
      <w:pPr>
        <w:spacing w:after="0"/>
        <w:jc w:val="both"/>
        <w:rPr>
          <w:sz w:val="20"/>
          <w:szCs w:val="20"/>
        </w:rPr>
      </w:pPr>
      <w:r w:rsidRPr="00274F82">
        <w:rPr>
          <w:sz w:val="20"/>
          <w:szCs w:val="20"/>
        </w:rPr>
        <w:t>A partire dagli anni cinquanta, Tiziano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si dedica soprattutto alle commissioni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di Carlo V e Filippo II: per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quest’ultimo dipinge una serie di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opere mitologiche che invia in Spagna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fra il 1554 e il 1576, fra cui Venere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 Adone (Madrid, Prado), Diana 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Atteone e Diana e Callisto (entrambi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 Edimburgo, National Gallery of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Scotland), meditazioni malinconiche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 quasi tragiche sugli antichi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miti, molto lontane dall</w:t>
      </w:r>
      <w:r>
        <w:rPr>
          <w:sz w:val="20"/>
          <w:szCs w:val="20"/>
        </w:rPr>
        <w:t>e</w:t>
      </w:r>
      <w:r w:rsidRPr="00274F82">
        <w:rPr>
          <w:sz w:val="20"/>
          <w:szCs w:val="20"/>
        </w:rPr>
        <w:t xml:space="preserve"> gioiose celebrazioni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del mondo classico delle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opere giovanili. Verso le fine degli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anni cinquanta la pittura di Tiziano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raggiunge esiti altissimi in termini di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sperimentazione luministica e libertà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espressiva: una rivoluzionaria tecnica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 pittorica in cui la stesura è rapida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 la gamma cromatica si smorza, accendendosi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con effetti luministici del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tutto innovativi. Proprio in questa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fase innovativa e sperimentale, tra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la Crocifissione per San Domenico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ad Ancona (ora Pinacoteca Civica,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1556-1557) e la Deposizione realizzata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per Filippo II (Madrid, Prado,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1559), si inserisce l’Annunciazione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per San Domenico Maggiore a Napoli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(ora Napoli, Museo e Real Bosco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di Capodimonte).</w:t>
      </w:r>
    </w:p>
    <w:p w14:paraId="5E778A67" w14:textId="18FC5E74" w:rsidR="00274F82" w:rsidRPr="00274F82" w:rsidRDefault="00274F82" w:rsidP="00274F82">
      <w:pPr>
        <w:spacing w:after="0"/>
        <w:jc w:val="both"/>
        <w:rPr>
          <w:sz w:val="20"/>
          <w:szCs w:val="20"/>
        </w:rPr>
      </w:pPr>
      <w:r w:rsidRPr="00274F82">
        <w:rPr>
          <w:sz w:val="20"/>
          <w:szCs w:val="20"/>
        </w:rPr>
        <w:t>Fra i capolavori dell’età matura, in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cui le ricerche degli anni precedenti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vengono portate avanti fino a esiti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esasperati ed estremi, spiccano l’Incoronazione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di spine (Monaco, Alte</w:t>
      </w:r>
      <w:r>
        <w:rPr>
          <w:sz w:val="20"/>
          <w:szCs w:val="20"/>
        </w:rPr>
        <w:t xml:space="preserve"> </w:t>
      </w:r>
      <w:proofErr w:type="spellStart"/>
      <w:r w:rsidRPr="00274F82">
        <w:rPr>
          <w:sz w:val="20"/>
          <w:szCs w:val="20"/>
        </w:rPr>
        <w:t>Pinakothek</w:t>
      </w:r>
      <w:proofErr w:type="spellEnd"/>
      <w:r w:rsidRPr="00274F82">
        <w:rPr>
          <w:sz w:val="20"/>
          <w:szCs w:val="20"/>
        </w:rPr>
        <w:t>, circa 1570), quasi monocroma,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con il colore abbozzato 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vibranti pennellate di luce, o ancora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la Punizione di Marsia (</w:t>
      </w:r>
      <w:proofErr w:type="spellStart"/>
      <w:r w:rsidRPr="00274F82">
        <w:rPr>
          <w:sz w:val="20"/>
          <w:szCs w:val="20"/>
        </w:rPr>
        <w:t>Krömĕriz</w:t>
      </w:r>
      <w:proofErr w:type="spellEnd"/>
      <w:r w:rsidRPr="00274F82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Palazzo arcivescovile, 1570-1576),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in cui la stesura pittorica a masse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cromatiche sfaldate diviene quasi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incandescente.</w:t>
      </w:r>
    </w:p>
    <w:p w14:paraId="198E0F1B" w14:textId="1220C029" w:rsidR="00274F82" w:rsidRPr="00274F82" w:rsidRDefault="00274F82" w:rsidP="00274F82">
      <w:pPr>
        <w:spacing w:after="0"/>
        <w:jc w:val="both"/>
        <w:rPr>
          <w:sz w:val="20"/>
          <w:szCs w:val="20"/>
        </w:rPr>
      </w:pPr>
      <w:r w:rsidRPr="00274F82">
        <w:rPr>
          <w:sz w:val="20"/>
          <w:szCs w:val="20"/>
        </w:rPr>
        <w:t>Estremo capolavoro del pittore è la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Pietà (Venezia, Gallerie dell’Accademia),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eseguita non per la Serenissima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né per i sovrani spagnoli, ma per la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propria sepoltura ai Frari e poi trasformata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in un drammatico ex voto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per scongiurare la peste che infuriava.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Proprio durante la peste Tiziano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morirà nella sua casa veneziana il 27</w:t>
      </w:r>
      <w:r>
        <w:rPr>
          <w:sz w:val="20"/>
          <w:szCs w:val="20"/>
        </w:rPr>
        <w:t xml:space="preserve"> </w:t>
      </w:r>
      <w:r w:rsidRPr="00274F82">
        <w:rPr>
          <w:sz w:val="20"/>
          <w:szCs w:val="20"/>
        </w:rPr>
        <w:t>agosto 1576.</w:t>
      </w:r>
    </w:p>
    <w:sectPr w:rsidR="00274F82" w:rsidRPr="00274F82" w:rsidSect="00870C61">
      <w:footerReference w:type="default" r:id="rId6"/>
      <w:headerReference w:type="first" r:id="rId7"/>
      <w:footerReference w:type="first" r:id="rId8"/>
      <w:pgSz w:w="11906" w:h="16838"/>
      <w:pgMar w:top="993" w:right="1134" w:bottom="1276" w:left="1134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9622" w14:textId="77777777" w:rsidR="00C40A97" w:rsidRDefault="00C40A97" w:rsidP="0033065B">
      <w:pPr>
        <w:spacing w:after="0" w:line="240" w:lineRule="auto"/>
      </w:pPr>
      <w:r>
        <w:separator/>
      </w:r>
    </w:p>
  </w:endnote>
  <w:endnote w:type="continuationSeparator" w:id="0">
    <w:p w14:paraId="31ED6771" w14:textId="77777777" w:rsidR="00C40A97" w:rsidRDefault="00C40A97" w:rsidP="00330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2FC84" w14:textId="5643782B" w:rsidR="005E27CA" w:rsidRDefault="005E27CA" w:rsidP="0033065B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43A4" w14:textId="62216889" w:rsidR="00696165" w:rsidRDefault="00696165">
    <w:pPr>
      <w:pStyle w:val="Pidipagina"/>
    </w:pPr>
    <w:r>
      <w:rPr>
        <w:rFonts w:cs="Calibri"/>
        <w:noProof/>
      </w:rPr>
      <w:drawing>
        <wp:anchor distT="0" distB="0" distL="114300" distR="114300" simplePos="0" relativeHeight="251659776" behindDoc="0" locked="0" layoutInCell="1" allowOverlap="1" wp14:anchorId="36B43DFD" wp14:editId="14BF62FC">
          <wp:simplePos x="0" y="0"/>
          <wp:positionH relativeFrom="margin">
            <wp:align>center</wp:align>
          </wp:positionH>
          <wp:positionV relativeFrom="margin">
            <wp:posOffset>7608570</wp:posOffset>
          </wp:positionV>
          <wp:extent cx="6118225" cy="1188720"/>
          <wp:effectExtent l="0" t="0" r="0" b="0"/>
          <wp:wrapSquare wrapText="bothSides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/>
                  <a:srcRect l="10986" t="27362"/>
                  <a:stretch/>
                </pic:blipFill>
                <pic:spPr bwMode="auto">
                  <a:xfrm>
                    <a:off x="0" y="0"/>
                    <a:ext cx="6118225" cy="1188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95B73" w14:textId="77777777" w:rsidR="00C40A97" w:rsidRDefault="00C40A97" w:rsidP="0033065B">
      <w:pPr>
        <w:spacing w:after="0" w:line="240" w:lineRule="auto"/>
      </w:pPr>
      <w:r>
        <w:separator/>
      </w:r>
    </w:p>
  </w:footnote>
  <w:footnote w:type="continuationSeparator" w:id="0">
    <w:p w14:paraId="13834251" w14:textId="77777777" w:rsidR="00C40A97" w:rsidRDefault="00C40A97" w:rsidP="00330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870C61" w14:paraId="0908E749" w14:textId="77777777" w:rsidTr="00870C61">
      <w:tc>
        <w:tcPr>
          <w:tcW w:w="3209" w:type="dxa"/>
          <w:vAlign w:val="center"/>
        </w:tcPr>
        <w:p w14:paraId="4EE75444" w14:textId="03265EC1" w:rsidR="00870C61" w:rsidRDefault="00870C61" w:rsidP="00870C61">
          <w:pPr>
            <w:pStyle w:val="Intestazione"/>
            <w:jc w:val="center"/>
          </w:pPr>
          <w:r w:rsidRPr="00870C61">
            <w:rPr>
              <w:rFonts w:cs="Calibri"/>
              <w:noProof/>
            </w:rPr>
            <w:drawing>
              <wp:inline distT="0" distB="0" distL="0" distR="0" wp14:anchorId="774330C2" wp14:editId="697D2D61">
                <wp:extent cx="1406377" cy="864000"/>
                <wp:effectExtent l="0" t="0" r="381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6377" cy="86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1B989537" w14:textId="46F34F42" w:rsidR="00870C61" w:rsidRDefault="00870C61" w:rsidP="00870C61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7F3483C5" wp14:editId="5652DBE8">
                <wp:extent cx="1030293" cy="1080000"/>
                <wp:effectExtent l="0" t="0" r="0" b="6350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0293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47A110A8" w14:textId="7289C0F5" w:rsidR="00870C61" w:rsidRDefault="00870C61" w:rsidP="00870C61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29BC71D0" wp14:editId="53E4F926">
                <wp:extent cx="1220663" cy="864000"/>
                <wp:effectExtent l="0" t="0" r="0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9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0663" cy="86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8EF0D07" w14:textId="77777777" w:rsidR="00870C61" w:rsidRDefault="00870C6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E2"/>
    <w:rsid w:val="00017169"/>
    <w:rsid w:val="00056358"/>
    <w:rsid w:val="00121989"/>
    <w:rsid w:val="001708F2"/>
    <w:rsid w:val="001762BE"/>
    <w:rsid w:val="001C315F"/>
    <w:rsid w:val="002162C9"/>
    <w:rsid w:val="00236AB1"/>
    <w:rsid w:val="00274F82"/>
    <w:rsid w:val="002A2158"/>
    <w:rsid w:val="003227CF"/>
    <w:rsid w:val="0033065B"/>
    <w:rsid w:val="003914FE"/>
    <w:rsid w:val="003B49E9"/>
    <w:rsid w:val="004003B8"/>
    <w:rsid w:val="00422053"/>
    <w:rsid w:val="00424525"/>
    <w:rsid w:val="00471B5C"/>
    <w:rsid w:val="004C3FD8"/>
    <w:rsid w:val="004D0A1F"/>
    <w:rsid w:val="00502A9E"/>
    <w:rsid w:val="00521439"/>
    <w:rsid w:val="00543BE2"/>
    <w:rsid w:val="0055118C"/>
    <w:rsid w:val="0056507F"/>
    <w:rsid w:val="005A6C4B"/>
    <w:rsid w:val="005E117A"/>
    <w:rsid w:val="005E27CA"/>
    <w:rsid w:val="00672F97"/>
    <w:rsid w:val="00673559"/>
    <w:rsid w:val="00696165"/>
    <w:rsid w:val="006F31D9"/>
    <w:rsid w:val="006F5F51"/>
    <w:rsid w:val="006F64CC"/>
    <w:rsid w:val="006F7D8C"/>
    <w:rsid w:val="00707BE2"/>
    <w:rsid w:val="007203D2"/>
    <w:rsid w:val="00722E82"/>
    <w:rsid w:val="00743BFD"/>
    <w:rsid w:val="007F7143"/>
    <w:rsid w:val="007F7A9D"/>
    <w:rsid w:val="0083100C"/>
    <w:rsid w:val="00840703"/>
    <w:rsid w:val="00857A92"/>
    <w:rsid w:val="00862600"/>
    <w:rsid w:val="00870C61"/>
    <w:rsid w:val="00881420"/>
    <w:rsid w:val="0089598E"/>
    <w:rsid w:val="008A420D"/>
    <w:rsid w:val="008F11EF"/>
    <w:rsid w:val="00933296"/>
    <w:rsid w:val="00957ED1"/>
    <w:rsid w:val="00966661"/>
    <w:rsid w:val="009A7A76"/>
    <w:rsid w:val="009C3A6A"/>
    <w:rsid w:val="009D142C"/>
    <w:rsid w:val="009F4646"/>
    <w:rsid w:val="00A118CD"/>
    <w:rsid w:val="00B02082"/>
    <w:rsid w:val="00B148D0"/>
    <w:rsid w:val="00B1662E"/>
    <w:rsid w:val="00B26C53"/>
    <w:rsid w:val="00B3639E"/>
    <w:rsid w:val="00B37DA5"/>
    <w:rsid w:val="00B37F82"/>
    <w:rsid w:val="00B77CBD"/>
    <w:rsid w:val="00B94073"/>
    <w:rsid w:val="00B9452C"/>
    <w:rsid w:val="00B953AB"/>
    <w:rsid w:val="00BD476B"/>
    <w:rsid w:val="00BE5F4D"/>
    <w:rsid w:val="00C0727D"/>
    <w:rsid w:val="00C16852"/>
    <w:rsid w:val="00C40A97"/>
    <w:rsid w:val="00D02453"/>
    <w:rsid w:val="00D205DE"/>
    <w:rsid w:val="00DF1DE2"/>
    <w:rsid w:val="00E47F0B"/>
    <w:rsid w:val="00EA1102"/>
    <w:rsid w:val="00EA17B2"/>
    <w:rsid w:val="00EB7940"/>
    <w:rsid w:val="00ED3505"/>
    <w:rsid w:val="00F02C26"/>
    <w:rsid w:val="00F131BD"/>
    <w:rsid w:val="00F33450"/>
    <w:rsid w:val="00F42BF5"/>
    <w:rsid w:val="00F911B1"/>
    <w:rsid w:val="00FA0586"/>
    <w:rsid w:val="00FC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16587A8"/>
  <w15:docId w15:val="{F3213871-9F67-4CD9-8B4A-76A11FE7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2C9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99"/>
    <w:qFormat/>
    <w:rsid w:val="007F7A9D"/>
    <w:rPr>
      <w:rFonts w:cs="Times New Roman"/>
      <w:b/>
      <w:bCs/>
    </w:rPr>
  </w:style>
  <w:style w:type="character" w:customStyle="1" w:styleId="A0">
    <w:name w:val="A0"/>
    <w:uiPriority w:val="99"/>
    <w:rsid w:val="009C3A6A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B0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0208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locked/>
    <w:rsid w:val="00EA17B2"/>
    <w:rPr>
      <w:rFonts w:ascii="Times New Roman" w:hAnsi="Times New Roman"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EA17B2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3065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3065B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F334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96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9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1497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Carlo</dc:creator>
  <cp:keywords/>
  <dc:description/>
  <cp:lastModifiedBy>Carlo Ghielmetti</cp:lastModifiedBy>
  <cp:revision>2</cp:revision>
  <cp:lastPrinted>2021-11-02T11:53:00Z</cp:lastPrinted>
  <dcterms:created xsi:type="dcterms:W3CDTF">2021-11-02T12:02:00Z</dcterms:created>
  <dcterms:modified xsi:type="dcterms:W3CDTF">2021-11-02T12:02:00Z</dcterms:modified>
</cp:coreProperties>
</file>