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B0FB0" w14:textId="530F9E71" w:rsidR="00936293" w:rsidRDefault="00E60DFF" w:rsidP="00FE6EF8">
      <w:pPr>
        <w:spacing w:line="252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 w:rsidRPr="00E60DFF">
        <w:rPr>
          <w:rFonts w:asciiTheme="majorHAnsi" w:hAnsiTheme="majorHAnsi" w:cstheme="majorHAnsi"/>
          <w:b/>
          <w:sz w:val="28"/>
          <w:szCs w:val="28"/>
        </w:rPr>
        <w:t>ELENA PONTIGGIA</w:t>
      </w:r>
    </w:p>
    <w:p w14:paraId="193E3DF4" w14:textId="36088BF6" w:rsidR="00E60DFF" w:rsidRDefault="00E60DFF" w:rsidP="00FE6EF8">
      <w:pPr>
        <w:spacing w:line="252" w:lineRule="auto"/>
        <w:jc w:val="both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Curatrice della mostra</w:t>
      </w:r>
    </w:p>
    <w:p w14:paraId="00EE3FCD" w14:textId="4F12505F" w:rsidR="00E60DFF" w:rsidRDefault="00E60DFF" w:rsidP="00FE6EF8">
      <w:pPr>
        <w:spacing w:line="252" w:lineRule="auto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0CA22F7F" w14:textId="15969D98" w:rsidR="00E60DFF" w:rsidRPr="00FC26F4" w:rsidRDefault="00FC26F4" w:rsidP="00FE6EF8">
      <w:pPr>
        <w:spacing w:line="252" w:lineRule="auto"/>
        <w:jc w:val="both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FC26F4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Giorgio Milani. La scrittura come </w:t>
      </w:r>
      <w:proofErr w:type="gramStart"/>
      <w:r w:rsidRPr="00FC26F4">
        <w:rPr>
          <w:rFonts w:asciiTheme="majorHAnsi" w:hAnsiTheme="majorHAnsi" w:cstheme="majorHAnsi"/>
          <w:b/>
          <w:bCs/>
          <w:i/>
          <w:iCs/>
          <w:sz w:val="28"/>
          <w:szCs w:val="28"/>
        </w:rPr>
        <w:t>enigma</w:t>
      </w:r>
      <w:r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 *</w:t>
      </w:r>
      <w:proofErr w:type="gramEnd"/>
    </w:p>
    <w:p w14:paraId="59553EA2" w14:textId="3650ACD6" w:rsidR="00E60DFF" w:rsidRDefault="00E60DFF" w:rsidP="00FE6EF8">
      <w:pPr>
        <w:spacing w:line="252" w:lineRule="auto"/>
        <w:jc w:val="both"/>
        <w:rPr>
          <w:rFonts w:asciiTheme="majorHAnsi" w:hAnsiTheme="majorHAnsi" w:cstheme="majorHAnsi"/>
          <w:b/>
          <w:bCs/>
        </w:rPr>
      </w:pPr>
    </w:p>
    <w:p w14:paraId="3568585D" w14:textId="436C70D4" w:rsidR="004B73D2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  <w:i/>
          <w:iCs/>
        </w:rPr>
        <w:t>Scrittura e materia</w:t>
      </w:r>
    </w:p>
    <w:p w14:paraId="0A4AFFA9" w14:textId="085E3147" w:rsidR="00FC26F4" w:rsidRPr="00FC26F4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</w:rPr>
        <w:t>Ci sono cose che fanno parte di noi, molto più di quanto pensiamo. Le lettere e i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segni, per esempio, con cui, dalla metà del Quattrocento alle soglie del Duemila, si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sono stampati i libri; i caratteri che per mezzo millennio hanno generato ogni pagina,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ogni foglio, ogni riga dell’Occidente e dell’Oriente. Quelle lettere e quei segni possono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sembrarci strumenti artigianali che non ci riguardano, e invece ci appartengono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 xml:space="preserve">talmente che </w:t>
      </w:r>
      <w:proofErr w:type="spellStart"/>
      <w:r w:rsidRPr="00FC26F4">
        <w:rPr>
          <w:rFonts w:asciiTheme="majorHAnsi" w:hAnsiTheme="majorHAnsi" w:cstheme="majorHAnsi"/>
        </w:rPr>
        <w:t>da</w:t>
      </w:r>
      <w:proofErr w:type="spellEnd"/>
      <w:r w:rsidRPr="00FC26F4">
        <w:rPr>
          <w:rFonts w:asciiTheme="majorHAnsi" w:hAnsiTheme="majorHAnsi" w:cstheme="majorHAnsi"/>
        </w:rPr>
        <w:t xml:space="preserve"> loro deriva anche la parola “carattere”, cioè il complesso di qualità e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difetti che distinguono una persona dall’altra. E che non è facile modificare, purtroppo,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proprio come non si potevano modificare le vocali e le consonanti di legno o di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piombo con cui si componevano le pagine a stampa. Se ci pensassimo un po’, non ci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illuderemmo di cambiare il carattere degli altri, o il nostro, come invece ci ostiniamo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a fare, coi risultati sconfortanti che conosciamo.</w:t>
      </w:r>
    </w:p>
    <w:p w14:paraId="3A72A864" w14:textId="5A87E35A" w:rsidR="00FC26F4" w:rsidRPr="00FC26F4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</w:rPr>
        <w:t>Sui caratteri di stampa, sulla loro storia e la loro bellezza ha riflettuto più di tutti Giorgio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Milani, che per primo ha avuto l’intuizione di usare quel patrimonio di segni per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una ricerca espressiva. Milani ha tracciato così una strada nuova, un rapporto inedito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tra parole e immagini, perché non si è limitato a introdurre nelle sue opere le lettere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e i numeri, come le avanguardie avevano già fatto all’inizio del moderno, ma ha dato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un corpo a quelle maiuscole e minuscole, creando una scrittura visiva che non è solo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grafia, ma anche volume e materia.</w:t>
      </w:r>
    </w:p>
    <w:p w14:paraId="174D96AC" w14:textId="7A603B46" w:rsidR="00FC26F4" w:rsidRPr="00FC26F4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</w:rPr>
        <w:t>Nell’ambito del concettualismo Il suo lavoro si distingue così per una dimensione di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fisicità e di concretezza (tutta emiliana e romanica verrebbe da dire). E forse non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poteva venire che da Piacenza, che da secoli custodisce amorosamente un responso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di aruspici inciso non su pergamene e papiri, ma sul fegato di una pecora, dove i segni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fanno corpo con quel corpo; non poteva venire che di lì, dunque, l’idea di una scrittura</w:t>
      </w:r>
      <w:r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che non è segno immateriale, ma consistenza, massa, peso, oggetto.</w:t>
      </w:r>
    </w:p>
    <w:p w14:paraId="20C6FF50" w14:textId="04B954C1" w:rsidR="00FC26F4" w:rsidRPr="00FC26F4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</w:rPr>
        <w:t xml:space="preserve">Qualcuno potrà obiettare, a questa ipotetica individuazione di un </w:t>
      </w:r>
      <w:proofErr w:type="spellStart"/>
      <w:r w:rsidRPr="00FC26F4">
        <w:rPr>
          <w:rFonts w:asciiTheme="majorHAnsi" w:hAnsiTheme="majorHAnsi" w:cstheme="majorHAnsi"/>
          <w:i/>
          <w:iCs/>
        </w:rPr>
        <w:t>genius</w:t>
      </w:r>
      <w:proofErr w:type="spellEnd"/>
      <w:r w:rsidRPr="00FC26F4">
        <w:rPr>
          <w:rFonts w:asciiTheme="majorHAnsi" w:hAnsiTheme="majorHAnsi" w:cstheme="majorHAnsi"/>
          <w:i/>
          <w:iCs/>
        </w:rPr>
        <w:t xml:space="preserve"> loci</w:t>
      </w:r>
      <w:r w:rsidRPr="00FC26F4">
        <w:rPr>
          <w:rFonts w:asciiTheme="majorHAnsi" w:hAnsiTheme="majorHAnsi" w:cstheme="majorHAnsi"/>
        </w:rPr>
        <w:t>, che Milani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è più un artista internazionale che un artista italiano, e le sue esperienze espositive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sono state più all’estero che in patria. Eppure in quel suo essere cittadino del mondo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(con studio in Canada e mostre personali un po’ dappertutto) non ha dimenticato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le sue radici. Non ha dimenticato, del resto, nemmeno le radici della sua cultura. Un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giorno qualsiasi degli anni Ottanta, vedendo un camion di caratteri tipografici destinati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a essere distrutti, ha avvertito, senza nemmeno riflettere troppo, che quelle lettere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erano l’alfabeto della nostra civiltà, i mattoni dei nostri concetti, e che bisognava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conservarle e proteggerle.</w:t>
      </w:r>
    </w:p>
    <w:p w14:paraId="7D6F1AB3" w14:textId="27EDB84C" w:rsidR="00FC26F4" w:rsidRPr="00FC26F4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</w:rPr>
        <w:t>Il suo gesto però non va confuso con un atteggiamento illuministico e museale, cioè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col gesto di chi, nel Settecento, raccoglieva, immagazzinava e catalogava, nei musei appunto,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quello che era disseminato in chiese e case. L’opera di Milani è il contrario. La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 xml:space="preserve">sua scrittura, i suoi </w:t>
      </w:r>
      <w:proofErr w:type="spellStart"/>
      <w:r w:rsidRPr="00FC26F4">
        <w:rPr>
          <w:rFonts w:asciiTheme="majorHAnsi" w:hAnsiTheme="majorHAnsi" w:cstheme="majorHAnsi"/>
          <w:i/>
          <w:iCs/>
        </w:rPr>
        <w:t>Poetari</w:t>
      </w:r>
      <w:proofErr w:type="spellEnd"/>
      <w:r w:rsidRPr="00FC26F4">
        <w:rPr>
          <w:rFonts w:asciiTheme="majorHAnsi" w:hAnsiTheme="majorHAnsi" w:cstheme="majorHAnsi"/>
        </w:rPr>
        <w:t>, non compongono un catalogo razionale o una schedatura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scolastica, ma sono semmai il luogo dell’enigma, non perché svelano il mistero, ma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perché rivelano che il mistero esiste. Lettere e segni sono raccolti in andamenti ortogonali,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entro quadrati e rettangoli, in spazi ritmici e musicali, ma non si leggono ordinatamente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e giudiziosamente. Provate a leggerli: non ci riuscirete, perché sono ermetici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come le foglie della Sibilla. Sono un’enciclopedia di Babele, cioè dell’incomprensione.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 xml:space="preserve">Narra </w:t>
      </w:r>
      <w:r w:rsidRPr="00FC26F4">
        <w:rPr>
          <w:rFonts w:asciiTheme="majorHAnsi" w:hAnsiTheme="majorHAnsi" w:cstheme="majorHAnsi"/>
        </w:rPr>
        <w:lastRenderedPageBreak/>
        <w:t xml:space="preserve">la Genesi, che i popoli del paese di </w:t>
      </w:r>
      <w:proofErr w:type="spellStart"/>
      <w:r w:rsidRPr="00FC26F4">
        <w:rPr>
          <w:rFonts w:asciiTheme="majorHAnsi" w:hAnsiTheme="majorHAnsi" w:cstheme="majorHAnsi"/>
        </w:rPr>
        <w:t>Sennaar</w:t>
      </w:r>
      <w:proofErr w:type="spellEnd"/>
      <w:r w:rsidRPr="00FC26F4">
        <w:rPr>
          <w:rFonts w:asciiTheme="majorHAnsi" w:hAnsiTheme="majorHAnsi" w:cstheme="majorHAnsi"/>
        </w:rPr>
        <w:t xml:space="preserve"> parlavano tutti una sola lingua.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 xml:space="preserve">Quando però commisero un peccato di hybris (cioè di </w:t>
      </w:r>
      <w:r w:rsidRPr="00FC26F4">
        <w:rPr>
          <w:rFonts w:asciiTheme="majorHAnsi" w:hAnsiTheme="majorHAnsi" w:cstheme="majorHAnsi"/>
          <w:i/>
          <w:iCs/>
        </w:rPr>
        <w:t>orgoglio e dismisura</w:t>
      </w:r>
      <w:r w:rsidRPr="00FC26F4">
        <w:rPr>
          <w:rFonts w:asciiTheme="majorHAnsi" w:hAnsiTheme="majorHAnsi" w:cstheme="majorHAnsi"/>
        </w:rPr>
        <w:t>, per dirla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con Dante) perché tentarono di costruire una torre che doveva arrivare fino al cielo,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Dio confuse i loro linguaggi, in modo che gli uomini non si comprendessero più.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 xml:space="preserve">Secondo certe etimologie “Babele”, dall’ebraico </w:t>
      </w:r>
      <w:proofErr w:type="spellStart"/>
      <w:r w:rsidRPr="00FC26F4">
        <w:rPr>
          <w:rFonts w:asciiTheme="majorHAnsi" w:hAnsiTheme="majorHAnsi" w:cstheme="majorHAnsi"/>
        </w:rPr>
        <w:t>bālal</w:t>
      </w:r>
      <w:proofErr w:type="spellEnd"/>
      <w:r w:rsidRPr="00FC26F4">
        <w:rPr>
          <w:rFonts w:asciiTheme="majorHAnsi" w:hAnsiTheme="majorHAnsi" w:cstheme="majorHAnsi"/>
        </w:rPr>
        <w:t>, significa appunto confusione.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L’episodio biblico è il paradigma di una impossibilità di sapere, di capire, che è il male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oscuro dell’umanità. Da una analoga consapevolezza nasce l’opera di Milani. Il suo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concettualismo è “quanto all’aspetto sereno”, come de Chirico diceva della pittura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metafisica, ma in realtà nasce da una sensazione dolorosa. Dietro la tavola pitagorica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delle sue vocali e delle sue consonanti, che si dispongono una accanto all’altra secondo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numero e misura, ora più grandi ora più piccole, ma sempre secondo un ordine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geometrico e un’armonia compositiva, sta la consapevolezza che il significato delle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parole ci sfugge, e che il nostro sapere più grande, anzi l’unica cosa che sappiamo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veramente, è che non sappiamo nulla.</w:t>
      </w:r>
    </w:p>
    <w:p w14:paraId="128FF4AD" w14:textId="65BC0E4A" w:rsidR="00FC26F4" w:rsidRDefault="00FC26F4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FC26F4">
        <w:rPr>
          <w:rFonts w:asciiTheme="majorHAnsi" w:hAnsiTheme="majorHAnsi" w:cstheme="majorHAnsi"/>
        </w:rPr>
        <w:t>Crediamo, certo, di sapere. Ma i filosofi della scienza ci ricordano che la scienza sperimentale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è scienza proprio perché può commettere degli errori. Scientifico non significa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  <w:i/>
          <w:iCs/>
        </w:rPr>
        <w:t xml:space="preserve">definitivamente </w:t>
      </w:r>
      <w:r w:rsidRPr="00FC26F4">
        <w:rPr>
          <w:rFonts w:asciiTheme="majorHAnsi" w:hAnsiTheme="majorHAnsi" w:cstheme="majorHAnsi"/>
        </w:rPr>
        <w:t>vero, come pensiamo noi che scienziati non siamo: significa solo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  <w:i/>
          <w:iCs/>
        </w:rPr>
        <w:t xml:space="preserve">ipoteticamente </w:t>
      </w:r>
      <w:r w:rsidRPr="00FC26F4">
        <w:rPr>
          <w:rFonts w:asciiTheme="majorHAnsi" w:hAnsiTheme="majorHAnsi" w:cstheme="majorHAnsi"/>
        </w:rPr>
        <w:t>vero. Vero per il momento e fino a prova contraria. Quanto alla storia,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“i libri di storia con le loro storie”, per citare il verso di Sanguineti, ci raccontano tutto,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tranne la verità. La storia è il sarcasmo dei vincitori, pensava Nietzsche (e l’aforisma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>si attaglia anche alla storia dell’arte). “La storia la scrivono gli storici, ma la giudicano i</w:t>
      </w:r>
      <w:r w:rsidR="008121DD">
        <w:rPr>
          <w:rFonts w:asciiTheme="majorHAnsi" w:hAnsiTheme="majorHAnsi" w:cstheme="majorHAnsi"/>
        </w:rPr>
        <w:t xml:space="preserve"> </w:t>
      </w:r>
      <w:r w:rsidRPr="00FC26F4">
        <w:rPr>
          <w:rFonts w:asciiTheme="majorHAnsi" w:hAnsiTheme="majorHAnsi" w:cstheme="majorHAnsi"/>
        </w:rPr>
        <w:t xml:space="preserve">poeti” scriveva </w:t>
      </w:r>
      <w:proofErr w:type="spellStart"/>
      <w:r w:rsidRPr="00FC26F4">
        <w:rPr>
          <w:rFonts w:asciiTheme="majorHAnsi" w:hAnsiTheme="majorHAnsi" w:cstheme="majorHAnsi"/>
        </w:rPr>
        <w:t>Salamov</w:t>
      </w:r>
      <w:proofErr w:type="spellEnd"/>
      <w:r w:rsidRPr="00FC26F4">
        <w:rPr>
          <w:rFonts w:asciiTheme="majorHAnsi" w:hAnsiTheme="majorHAnsi" w:cstheme="majorHAnsi"/>
        </w:rPr>
        <w:t>, che sugli storici non si faceva troppe illusioni.</w:t>
      </w:r>
    </w:p>
    <w:p w14:paraId="7A7D1208" w14:textId="2B29C55A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7B3C0458" w14:textId="346AC4DF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  <w:i/>
          <w:iCs/>
        </w:rPr>
      </w:pPr>
      <w:r w:rsidRPr="008121DD">
        <w:rPr>
          <w:rFonts w:asciiTheme="majorHAnsi" w:hAnsiTheme="majorHAnsi" w:cstheme="majorHAnsi"/>
          <w:i/>
          <w:iCs/>
        </w:rPr>
        <w:t>Verso l’immateriale</w:t>
      </w:r>
    </w:p>
    <w:p w14:paraId="606F137E" w14:textId="0D1D32B2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Quella di Milani, abbiamo detto, è una scrittura che ha corpo e materia. Ma questo è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solo un aspetto del suo lavoro, perché i molti suoi segni, ora, stanno diventando incorporei.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Alla ricerca di materialità si accosta adesso nelle sue opere, in modo uguale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e contrario, una ricerca di immaterialità.</w:t>
      </w:r>
    </w:p>
    <w:p w14:paraId="3074B1BA" w14:textId="5DC55C51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Oltre a intuire che il mondo della stampa, come si era sviluppato nella seconda metà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dello scorso millennio, stava scomparendo e che, perdendo il valore strumentale,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poteva acquistarne uno estetico e simbolico, Milani ha intuito che, con l’avvento della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civiltà digitale, la scrittura, la cultura, il mondo stesso (per non dire il nostro modo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di vivere) si avviavano a diventare virtuali. Se Villon si chiedeva dove erano le nevi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dell’anno passato, noi più prosaicamente dovremmo chiederci, per esempio, dov’è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l’orario ferroviario degli anni scorsi, quel libretto orizzontale giallo, dal formato di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cartolina, che era il breviario di ogni viaggiatore e che si ripubblicava puntualmente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a ogni passaggio di stagione: orario invernale e orario estivo. Ormai non esiste più.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Oggi tutti gli orari si consultano su internet, e su internet troviamo tutto: tutto, tranne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la concretezza della materia.</w:t>
      </w:r>
    </w:p>
    <w:p w14:paraId="331C2FAF" w14:textId="123D4DCF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Anche di questi mutamenti, insieme minimi e grandi, troviamo un riflesso nelle opere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 xml:space="preserve">di Milani. Accanto ai </w:t>
      </w:r>
      <w:proofErr w:type="spellStart"/>
      <w:r w:rsidRPr="008121DD">
        <w:rPr>
          <w:rFonts w:asciiTheme="majorHAnsi" w:hAnsiTheme="majorHAnsi" w:cstheme="majorHAnsi"/>
          <w:i/>
          <w:iCs/>
        </w:rPr>
        <w:t>Poetari</w:t>
      </w:r>
      <w:proofErr w:type="spellEnd"/>
      <w:r w:rsidRPr="008121DD">
        <w:rPr>
          <w:rFonts w:asciiTheme="majorHAnsi" w:hAnsiTheme="majorHAnsi" w:cstheme="majorHAnsi"/>
        </w:rPr>
        <w:t xml:space="preserve">, alle </w:t>
      </w:r>
      <w:r w:rsidRPr="008121DD">
        <w:rPr>
          <w:rFonts w:asciiTheme="majorHAnsi" w:hAnsiTheme="majorHAnsi" w:cstheme="majorHAnsi"/>
          <w:i/>
          <w:iCs/>
        </w:rPr>
        <w:t>Torri</w:t>
      </w:r>
      <w:r w:rsidRPr="008121DD">
        <w:rPr>
          <w:rFonts w:asciiTheme="majorHAnsi" w:hAnsiTheme="majorHAnsi" w:cstheme="majorHAnsi"/>
        </w:rPr>
        <w:t xml:space="preserve">, ai </w:t>
      </w:r>
      <w:r w:rsidRPr="008121DD">
        <w:rPr>
          <w:rFonts w:asciiTheme="majorHAnsi" w:hAnsiTheme="majorHAnsi" w:cstheme="majorHAnsi"/>
          <w:i/>
          <w:iCs/>
        </w:rPr>
        <w:t xml:space="preserve">Libri, </w:t>
      </w:r>
      <w:r w:rsidRPr="008121DD">
        <w:rPr>
          <w:rFonts w:asciiTheme="majorHAnsi" w:hAnsiTheme="majorHAnsi" w:cstheme="majorHAnsi"/>
        </w:rPr>
        <w:t>in cui l’artista ha dato vita a un’enciclopedia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di segni tattili, di incunaboli di legno e metallo, dove ogni lettera è rigorosamente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tridimensionale anche se è raccolta nel nido della pagina; accanto ai suoi dizionari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 xml:space="preserve">impossibili, compilati da un </w:t>
      </w:r>
      <w:r w:rsidRPr="008121DD">
        <w:rPr>
          <w:rFonts w:asciiTheme="majorHAnsi" w:hAnsiTheme="majorHAnsi" w:cstheme="majorHAnsi"/>
          <w:i/>
          <w:iCs/>
        </w:rPr>
        <w:t xml:space="preserve">Poeta folle </w:t>
      </w:r>
      <w:r w:rsidRPr="008121DD">
        <w:rPr>
          <w:rFonts w:asciiTheme="majorHAnsi" w:hAnsiTheme="majorHAnsi" w:cstheme="majorHAnsi"/>
        </w:rPr>
        <w:t>(la creatura omonima disegnata da de Chirico,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Carrà, de Pisis potrebbe essere una controfigura di Milani); accanto alle sue tastiere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letterarie, dai cui tasti non si sprigionano note o accordi, ma una “M”, una “T” o una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”X”; accanto alle sue scacchiere di vocali e consonanti, dove si gioca una partita immobile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e senza fine; accanto a tutte queste sue opere, dunque, nascono negli ultimi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 xml:space="preserve">anni quelli che </w:t>
      </w:r>
      <w:r w:rsidRPr="008121DD">
        <w:rPr>
          <w:rFonts w:asciiTheme="majorHAnsi" w:hAnsiTheme="majorHAnsi" w:cstheme="majorHAnsi"/>
        </w:rPr>
        <w:lastRenderedPageBreak/>
        <w:t>potremmo chiamare diari della dissolvenza, scritture che tendono 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diventare lievi fino a scomparire.</w:t>
      </w:r>
    </w:p>
    <w:p w14:paraId="04E7621B" w14:textId="4B8BB3AC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 xml:space="preserve">Nelle </w:t>
      </w:r>
      <w:r w:rsidRPr="008121DD">
        <w:rPr>
          <w:rFonts w:asciiTheme="majorHAnsi" w:hAnsiTheme="majorHAnsi" w:cstheme="majorHAnsi"/>
          <w:i/>
          <w:iCs/>
        </w:rPr>
        <w:t xml:space="preserve">Rose </w:t>
      </w:r>
      <w:r w:rsidRPr="008121DD">
        <w:rPr>
          <w:rFonts w:asciiTheme="majorHAnsi" w:hAnsiTheme="majorHAnsi" w:cstheme="majorHAnsi"/>
        </w:rPr>
        <w:t>i segni non si ordinano in un’armatura ortogonale, ma affiorano tra i petali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di un fiore, la cui vita proverbialmente non dura più dello spazio di un mattino. Nelle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  <w:i/>
          <w:iCs/>
        </w:rPr>
        <w:t>Sindoni</w:t>
      </w:r>
      <w:r w:rsidRPr="008121DD">
        <w:rPr>
          <w:rFonts w:asciiTheme="majorHAnsi" w:hAnsiTheme="majorHAnsi" w:cstheme="majorHAnsi"/>
        </w:rPr>
        <w:t xml:space="preserve">, nei </w:t>
      </w:r>
      <w:proofErr w:type="spellStart"/>
      <w:r w:rsidRPr="008121DD">
        <w:rPr>
          <w:rFonts w:asciiTheme="majorHAnsi" w:hAnsiTheme="majorHAnsi" w:cstheme="majorHAnsi"/>
          <w:i/>
          <w:iCs/>
        </w:rPr>
        <w:t>Poetari</w:t>
      </w:r>
      <w:proofErr w:type="spellEnd"/>
      <w:r w:rsidRPr="008121DD">
        <w:rPr>
          <w:rFonts w:asciiTheme="majorHAnsi" w:hAnsiTheme="majorHAnsi" w:cstheme="majorHAnsi"/>
          <w:i/>
          <w:iCs/>
        </w:rPr>
        <w:t xml:space="preserve"> </w:t>
      </w:r>
      <w:r w:rsidRPr="008121DD">
        <w:rPr>
          <w:rFonts w:asciiTheme="majorHAnsi" w:hAnsiTheme="majorHAnsi" w:cstheme="majorHAnsi"/>
        </w:rPr>
        <w:t xml:space="preserve">bianchi, nelle </w:t>
      </w:r>
      <w:r w:rsidRPr="008121DD">
        <w:rPr>
          <w:rFonts w:asciiTheme="majorHAnsi" w:hAnsiTheme="majorHAnsi" w:cstheme="majorHAnsi"/>
          <w:i/>
          <w:iCs/>
        </w:rPr>
        <w:t>Parole in libertà</w:t>
      </w:r>
      <w:r w:rsidRPr="008121DD">
        <w:rPr>
          <w:rFonts w:asciiTheme="majorHAnsi" w:hAnsiTheme="majorHAnsi" w:cstheme="majorHAnsi"/>
        </w:rPr>
        <w:t xml:space="preserve">, nelle </w:t>
      </w:r>
      <w:r w:rsidRPr="008121DD">
        <w:rPr>
          <w:rFonts w:asciiTheme="majorHAnsi" w:hAnsiTheme="majorHAnsi" w:cstheme="majorHAnsi"/>
          <w:i/>
          <w:iCs/>
        </w:rPr>
        <w:t xml:space="preserve">Sublimazioni </w:t>
      </w:r>
      <w:r w:rsidRPr="008121DD">
        <w:rPr>
          <w:rFonts w:asciiTheme="majorHAnsi" w:hAnsiTheme="majorHAnsi" w:cstheme="majorHAnsi"/>
        </w:rPr>
        <w:t>le lettere appaiono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 xml:space="preserve">come miraggi, come ombre. Negli </w:t>
      </w:r>
      <w:r w:rsidRPr="008121DD">
        <w:rPr>
          <w:rFonts w:asciiTheme="majorHAnsi" w:hAnsiTheme="majorHAnsi" w:cstheme="majorHAnsi"/>
          <w:i/>
          <w:iCs/>
        </w:rPr>
        <w:t xml:space="preserve">Acciai </w:t>
      </w:r>
      <w:r w:rsidRPr="008121DD">
        <w:rPr>
          <w:rFonts w:asciiTheme="majorHAnsi" w:hAnsiTheme="majorHAnsi" w:cstheme="majorHAnsi"/>
        </w:rPr>
        <w:t>il vuoto prende il posto del pieno e l’opera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procede per via di levare, come se ogni maiuscola o minuscola dovesse scivolare dal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piano su cui si è posata e cadere a terra. La scrittura non smette di essere corporea,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ma il suo corpo diventa sempre più evanescente. Con Montale Milani potrebbe dire: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“Svanire dunque è la ventura delle venture”.</w:t>
      </w:r>
    </w:p>
    <w:p w14:paraId="79670871" w14:textId="4A1EE0AC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L’artista evita ogni teatro dell’angoscia, ogni grido espressionista, e svolge anzi una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 xml:space="preserve">meditazione introversa, ma i suoi </w:t>
      </w:r>
      <w:proofErr w:type="spellStart"/>
      <w:r w:rsidRPr="008121DD">
        <w:rPr>
          <w:rFonts w:asciiTheme="majorHAnsi" w:hAnsiTheme="majorHAnsi" w:cstheme="majorHAnsi"/>
          <w:i/>
          <w:iCs/>
        </w:rPr>
        <w:t>Poetari</w:t>
      </w:r>
      <w:proofErr w:type="spellEnd"/>
      <w:r w:rsidRPr="008121DD">
        <w:rPr>
          <w:rFonts w:asciiTheme="majorHAnsi" w:hAnsiTheme="majorHAnsi" w:cstheme="majorHAnsi"/>
          <w:i/>
          <w:iCs/>
        </w:rPr>
        <w:t xml:space="preserve"> </w:t>
      </w:r>
      <w:r w:rsidRPr="008121DD">
        <w:rPr>
          <w:rFonts w:asciiTheme="majorHAnsi" w:hAnsiTheme="majorHAnsi" w:cstheme="majorHAnsi"/>
        </w:rPr>
        <w:t>e le loro numerose declinazioni sembrano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esprimere ora quella che i sociologi chiamano la “società liquida”, la civiltà del terzo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millennio che segna la fine di ogni nozione solida, di ogni certezza non diciamo granitica,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ma almeno stabile.</w:t>
      </w:r>
    </w:p>
    <w:p w14:paraId="200D48CE" w14:textId="3A01494D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Nelle opere di Milani tuttavia materialità e immaterialità della scrittura rimandano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soprattutto a un identico mistero. Anche dove i segni sono più evanescenti, quello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che più colpisce e coinvolge nelle sue composizioni è un immutato senso dell’enigma.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L’artista crea insomma una biblioteca del silenzio perché, alla fine, il suo linguaggio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(come quello di Apollo l’obliquo, secondo Eraclito) non dice e non rivela, ma nasconde.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Nomi capovolti, in tutti i sensi, si affiancano a lettere nomadi, erranti. Frasi di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senso compiuto, ma intrise dell’ermetismo della poesia, si accostano a parole isolate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cui Milani si riconcilia col mondo del colore e della figura, pur rimanendo sempre in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un alveo concettuale.</w:t>
      </w:r>
    </w:p>
    <w:p w14:paraId="3EFD9E64" w14:textId="6F3242ED" w:rsidR="008121DD" w:rsidRP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Diceva Wittgenstein che con il linguaggio non possiamo andare oltre i limiti dell’evidenza.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Anche Milani ha creato un linguaggio evidente, anzi addirittura plastico, ma che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ci fa constatare i limiti dell’evidenza, come le ambiguità, le obliquità e i segreti della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parola.</w:t>
      </w:r>
    </w:p>
    <w:p w14:paraId="0C7E9E62" w14:textId="7E407626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 w:rsidRPr="008121DD">
        <w:rPr>
          <w:rFonts w:asciiTheme="majorHAnsi" w:hAnsiTheme="majorHAnsi" w:cstheme="majorHAnsi"/>
        </w:rPr>
        <w:t>L’affermazione di Platone secondo cui i libri, se interrogati, tacciono maestosamente,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 xml:space="preserve">vale allora anche per i </w:t>
      </w:r>
      <w:r w:rsidRPr="008121DD">
        <w:rPr>
          <w:rFonts w:asciiTheme="majorHAnsi" w:hAnsiTheme="majorHAnsi" w:cstheme="majorHAnsi"/>
          <w:i/>
          <w:iCs/>
        </w:rPr>
        <w:t xml:space="preserve">Libri, </w:t>
      </w:r>
      <w:r w:rsidRPr="008121DD">
        <w:rPr>
          <w:rFonts w:asciiTheme="majorHAnsi" w:hAnsiTheme="majorHAnsi" w:cstheme="majorHAnsi"/>
        </w:rPr>
        <w:t>le composizioni e le opere di Milani, che ci consegnano</w:t>
      </w:r>
      <w:r>
        <w:rPr>
          <w:rFonts w:asciiTheme="majorHAnsi" w:hAnsiTheme="majorHAnsi" w:cstheme="majorHAnsi"/>
        </w:rPr>
        <w:t xml:space="preserve"> </w:t>
      </w:r>
      <w:r w:rsidRPr="008121DD">
        <w:rPr>
          <w:rFonts w:asciiTheme="majorHAnsi" w:hAnsiTheme="majorHAnsi" w:cstheme="majorHAnsi"/>
        </w:rPr>
        <w:t>un silenzio maestoso. Eloquente come ogni forma di silenzio.</w:t>
      </w:r>
    </w:p>
    <w:p w14:paraId="0A018FF0" w14:textId="78FB8EAD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659D6E4B" w14:textId="76727461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Piacenza, 22 ottobre 2020</w:t>
      </w:r>
    </w:p>
    <w:p w14:paraId="1FE795FE" w14:textId="1271E25B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36056F90" w14:textId="0995AB20" w:rsidR="008121DD" w:rsidRDefault="008121DD" w:rsidP="00FE6EF8">
      <w:pPr>
        <w:spacing w:line="252" w:lineRule="auto"/>
        <w:jc w:val="both"/>
        <w:rPr>
          <w:rFonts w:asciiTheme="majorHAnsi" w:hAnsiTheme="majorHAnsi" w:cstheme="majorHAnsi"/>
        </w:rPr>
      </w:pPr>
    </w:p>
    <w:p w14:paraId="4DD2ACDC" w14:textId="600BA922" w:rsidR="008121DD" w:rsidRPr="00FE6EF8" w:rsidRDefault="008121DD" w:rsidP="00FE6EF8">
      <w:pPr>
        <w:spacing w:line="252" w:lineRule="auto"/>
        <w:jc w:val="both"/>
        <w:rPr>
          <w:rFonts w:asciiTheme="majorHAnsi" w:hAnsiTheme="majorHAnsi" w:cstheme="majorHAnsi"/>
          <w:b/>
          <w:bCs/>
        </w:rPr>
      </w:pPr>
      <w:r w:rsidRPr="00FE6EF8">
        <w:rPr>
          <w:rFonts w:asciiTheme="majorHAnsi" w:hAnsiTheme="majorHAnsi" w:cstheme="majorHAnsi"/>
          <w:b/>
          <w:bCs/>
        </w:rPr>
        <w:t xml:space="preserve">* Dal catalogo </w:t>
      </w:r>
      <w:r w:rsidR="00FE6EF8" w:rsidRPr="00FE6EF8">
        <w:rPr>
          <w:rFonts w:asciiTheme="majorHAnsi" w:hAnsiTheme="majorHAnsi" w:cstheme="majorHAnsi"/>
          <w:b/>
          <w:bCs/>
        </w:rPr>
        <w:t>GLI ORI Editori Contemporanei</w:t>
      </w:r>
    </w:p>
    <w:sectPr w:rsidR="008121DD" w:rsidRPr="00FE6EF8" w:rsidSect="00656D64">
      <w:headerReference w:type="default" r:id="rId6"/>
      <w:pgSz w:w="11900" w:h="16840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3CF5" w14:textId="77777777" w:rsidR="0073145B" w:rsidRDefault="0073145B" w:rsidP="003440E8">
      <w:r>
        <w:separator/>
      </w:r>
    </w:p>
  </w:endnote>
  <w:endnote w:type="continuationSeparator" w:id="0">
    <w:p w14:paraId="15179E36" w14:textId="77777777" w:rsidR="0073145B" w:rsidRDefault="0073145B" w:rsidP="0034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29346" w14:textId="77777777" w:rsidR="0073145B" w:rsidRDefault="0073145B" w:rsidP="003440E8">
      <w:r>
        <w:separator/>
      </w:r>
    </w:p>
  </w:footnote>
  <w:footnote w:type="continuationSeparator" w:id="0">
    <w:p w14:paraId="5441D7A9" w14:textId="77777777" w:rsidR="0073145B" w:rsidRDefault="0073145B" w:rsidP="00344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2BAD5" w14:textId="1E4215F1" w:rsidR="003440E8" w:rsidRDefault="003440E8" w:rsidP="003440E8">
    <w:pPr>
      <w:pStyle w:val="Intestazione"/>
      <w:jc w:val="center"/>
    </w:pPr>
    <w:r>
      <w:rPr>
        <w:noProof/>
      </w:rPr>
      <w:drawing>
        <wp:inline distT="0" distB="0" distL="0" distR="0" wp14:anchorId="68506F54" wp14:editId="11DEA684">
          <wp:extent cx="3375660" cy="777240"/>
          <wp:effectExtent l="0" t="0" r="0" b="381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75660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FB"/>
    <w:rsid w:val="000A2758"/>
    <w:rsid w:val="000E2C75"/>
    <w:rsid w:val="000F6722"/>
    <w:rsid w:val="001068BA"/>
    <w:rsid w:val="00124695"/>
    <w:rsid w:val="001D6580"/>
    <w:rsid w:val="002A5308"/>
    <w:rsid w:val="002A73A7"/>
    <w:rsid w:val="002B584E"/>
    <w:rsid w:val="002D458F"/>
    <w:rsid w:val="003440E8"/>
    <w:rsid w:val="0035121E"/>
    <w:rsid w:val="00367424"/>
    <w:rsid w:val="00382F40"/>
    <w:rsid w:val="004253D3"/>
    <w:rsid w:val="004B73D2"/>
    <w:rsid w:val="00510376"/>
    <w:rsid w:val="00556642"/>
    <w:rsid w:val="005677B2"/>
    <w:rsid w:val="005950F0"/>
    <w:rsid w:val="005B2368"/>
    <w:rsid w:val="005F4A30"/>
    <w:rsid w:val="00606401"/>
    <w:rsid w:val="00656D64"/>
    <w:rsid w:val="006F7519"/>
    <w:rsid w:val="0073145B"/>
    <w:rsid w:val="00740047"/>
    <w:rsid w:val="008110E7"/>
    <w:rsid w:val="008121DD"/>
    <w:rsid w:val="00833117"/>
    <w:rsid w:val="008C7345"/>
    <w:rsid w:val="008D6DD4"/>
    <w:rsid w:val="008D772D"/>
    <w:rsid w:val="00936293"/>
    <w:rsid w:val="00952B11"/>
    <w:rsid w:val="00997247"/>
    <w:rsid w:val="009B1BD9"/>
    <w:rsid w:val="009E67CA"/>
    <w:rsid w:val="00A25E2C"/>
    <w:rsid w:val="00A33D2E"/>
    <w:rsid w:val="00AA68FB"/>
    <w:rsid w:val="00AD5D56"/>
    <w:rsid w:val="00B11B9A"/>
    <w:rsid w:val="00B16C06"/>
    <w:rsid w:val="00B74036"/>
    <w:rsid w:val="00BD2DA2"/>
    <w:rsid w:val="00C05266"/>
    <w:rsid w:val="00C12824"/>
    <w:rsid w:val="00C15A8F"/>
    <w:rsid w:val="00C857B0"/>
    <w:rsid w:val="00CA71E0"/>
    <w:rsid w:val="00CD009F"/>
    <w:rsid w:val="00D035CC"/>
    <w:rsid w:val="00D61DBF"/>
    <w:rsid w:val="00DA039A"/>
    <w:rsid w:val="00E60DFF"/>
    <w:rsid w:val="00E6273B"/>
    <w:rsid w:val="00E80565"/>
    <w:rsid w:val="00EB3D2B"/>
    <w:rsid w:val="00F32A61"/>
    <w:rsid w:val="00FC26F4"/>
    <w:rsid w:val="00FE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163762"/>
  <w14:defaultImageDpi w14:val="300"/>
  <w15:docId w15:val="{D8DC5009-3033-4A6D-80FB-F4D91FEC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A68FB"/>
    <w:rPr>
      <w:color w:val="0000FF" w:themeColor="hyperlink"/>
      <w:u w:val="single"/>
    </w:rPr>
  </w:style>
  <w:style w:type="paragraph" w:customStyle="1" w:styleId="paragraphstyle7">
    <w:name w:val="paragraph_style_7"/>
    <w:basedOn w:val="Normale"/>
    <w:rsid w:val="009B1BD9"/>
    <w:pPr>
      <w:spacing w:line="210" w:lineRule="atLeast"/>
    </w:pPr>
    <w:rPr>
      <w:rFonts w:ascii="Arial" w:eastAsia="Times New Roman" w:hAnsi="Arial" w:cs="Arial"/>
      <w:color w:val="515151"/>
      <w:sz w:val="18"/>
      <w:szCs w:val="18"/>
    </w:rPr>
  </w:style>
  <w:style w:type="character" w:customStyle="1" w:styleId="style91">
    <w:name w:val="style_91"/>
    <w:rsid w:val="009B1BD9"/>
    <w:rPr>
      <w:rFonts w:ascii="Arial" w:hAnsi="Arial" w:cs="Arial" w:hint="default"/>
      <w:b/>
      <w:bCs/>
      <w:i w:val="0"/>
      <w:iCs w:val="0"/>
      <w:color w:val="945200"/>
      <w:sz w:val="24"/>
      <w:szCs w:val="24"/>
    </w:rPr>
  </w:style>
  <w:style w:type="character" w:customStyle="1" w:styleId="style41">
    <w:name w:val="style_4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character" w:customStyle="1" w:styleId="style71">
    <w:name w:val="style_7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paragraph" w:customStyle="1" w:styleId="paragraphstyle2">
    <w:name w:val="paragraph_style_2"/>
    <w:basedOn w:val="Normale"/>
    <w:rsid w:val="009B1BD9"/>
    <w:pPr>
      <w:spacing w:line="225" w:lineRule="atLeast"/>
    </w:pPr>
    <w:rPr>
      <w:rFonts w:ascii="Arial" w:eastAsia="Times New Roman" w:hAnsi="Arial" w:cs="Arial"/>
      <w:color w:val="515151"/>
      <w:sz w:val="18"/>
      <w:szCs w:val="18"/>
    </w:rPr>
  </w:style>
  <w:style w:type="paragraph" w:customStyle="1" w:styleId="paragraphstyle4">
    <w:name w:val="paragraph_style_4"/>
    <w:basedOn w:val="Normale"/>
    <w:rsid w:val="009B1BD9"/>
    <w:pPr>
      <w:spacing w:line="225" w:lineRule="atLeast"/>
    </w:pPr>
    <w:rPr>
      <w:rFonts w:ascii="Arial" w:eastAsia="Times New Roman" w:hAnsi="Arial" w:cs="Arial"/>
      <w:color w:val="5E5E5E"/>
      <w:sz w:val="18"/>
      <w:szCs w:val="18"/>
    </w:rPr>
  </w:style>
  <w:style w:type="character" w:customStyle="1" w:styleId="style61">
    <w:name w:val="style_6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7519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69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69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440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0E8"/>
  </w:style>
  <w:style w:type="paragraph" w:styleId="Pidipagina">
    <w:name w:val="footer"/>
    <w:basedOn w:val="Normale"/>
    <w:link w:val="PidipaginaCarattere"/>
    <w:uiPriority w:val="99"/>
    <w:unhideWhenUsed/>
    <w:rsid w:val="003440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0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10376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AD5D56"/>
  </w:style>
  <w:style w:type="character" w:customStyle="1" w:styleId="style910">
    <w:name w:val="style91"/>
    <w:basedOn w:val="Carpredefinitoparagrafo"/>
    <w:rsid w:val="00AD5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 .</dc:creator>
  <cp:lastModifiedBy>Carlo</cp:lastModifiedBy>
  <cp:revision>3</cp:revision>
  <cp:lastPrinted>2020-09-17T07:03:00Z</cp:lastPrinted>
  <dcterms:created xsi:type="dcterms:W3CDTF">2020-10-19T14:21:00Z</dcterms:created>
  <dcterms:modified xsi:type="dcterms:W3CDTF">2020-10-19T14:24:00Z</dcterms:modified>
</cp:coreProperties>
</file>