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6"/>
        <w:gridCol w:w="2269"/>
        <w:gridCol w:w="2279"/>
        <w:gridCol w:w="2254"/>
      </w:tblGrid>
      <w:tr w:rsidR="009F10B5" w14:paraId="3BAA59CC" w14:textId="77777777" w:rsidTr="009F10B5">
        <w:tc>
          <w:tcPr>
            <w:tcW w:w="2826" w:type="dxa"/>
            <w:vAlign w:val="center"/>
          </w:tcPr>
          <w:p w14:paraId="480637CE" w14:textId="0083C23F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9BFA8DA" wp14:editId="31BC5099">
                  <wp:extent cx="1649798" cy="642083"/>
                  <wp:effectExtent l="0" t="0" r="762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EVENTI-20-21.g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572" cy="68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  <w:vAlign w:val="center"/>
          </w:tcPr>
          <w:p w14:paraId="3197A943" w14:textId="7CBEA40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8A7148E" wp14:editId="63113A9E">
                  <wp:extent cx="1039568" cy="944540"/>
                  <wp:effectExtent l="0" t="0" r="825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251" cy="95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9" w:type="dxa"/>
            <w:vAlign w:val="center"/>
          </w:tcPr>
          <w:p w14:paraId="2245377F" w14:textId="31F283B3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FB32585" wp14:editId="023422D9">
                  <wp:extent cx="1074388" cy="707097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057" cy="71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14:paraId="546ED9E7" w14:textId="306A1E2B" w:rsidR="009F10B5" w:rsidRDefault="009F10B5" w:rsidP="009F1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2141669" wp14:editId="0BD9E81C">
                  <wp:extent cx="1007745" cy="1007745"/>
                  <wp:effectExtent l="0" t="0" r="1905" b="1905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808" cy="102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C62A0C" w14:textId="67D6884C" w:rsidR="00FA3F55" w:rsidRDefault="00FA3F55" w:rsidP="00561441">
      <w:pPr>
        <w:spacing w:after="0"/>
        <w:jc w:val="center"/>
        <w:rPr>
          <w:b/>
          <w:sz w:val="28"/>
          <w:szCs w:val="28"/>
        </w:rPr>
      </w:pPr>
    </w:p>
    <w:p w14:paraId="579E6F14" w14:textId="2EFCBEEA" w:rsidR="007E125A" w:rsidRPr="007E125A" w:rsidRDefault="007E125A" w:rsidP="007E125A">
      <w:pPr>
        <w:spacing w:after="0"/>
        <w:jc w:val="both"/>
        <w:rPr>
          <w:b/>
          <w:sz w:val="28"/>
          <w:szCs w:val="28"/>
        </w:rPr>
      </w:pPr>
      <w:r w:rsidRPr="007E125A">
        <w:rPr>
          <w:b/>
          <w:sz w:val="28"/>
          <w:szCs w:val="28"/>
        </w:rPr>
        <w:t>PATRIZIA BARBIERI</w:t>
      </w:r>
    </w:p>
    <w:p w14:paraId="2C37B8DB" w14:textId="741826C8" w:rsidR="00663088" w:rsidRDefault="007E125A" w:rsidP="007E125A">
      <w:pPr>
        <w:spacing w:after="0"/>
        <w:jc w:val="both"/>
        <w:rPr>
          <w:b/>
          <w:sz w:val="28"/>
          <w:szCs w:val="28"/>
        </w:rPr>
      </w:pPr>
      <w:r w:rsidRPr="007E125A">
        <w:rPr>
          <w:b/>
          <w:sz w:val="28"/>
          <w:szCs w:val="28"/>
        </w:rPr>
        <w:t>Sindaco di Piacenza</w:t>
      </w:r>
    </w:p>
    <w:p w14:paraId="28319E26" w14:textId="4483735D" w:rsidR="00C30F9F" w:rsidRDefault="00C30F9F" w:rsidP="001562AD">
      <w:pPr>
        <w:spacing w:after="0" w:line="276" w:lineRule="auto"/>
        <w:jc w:val="both"/>
        <w:rPr>
          <w:bCs/>
          <w:sz w:val="23"/>
          <w:szCs w:val="23"/>
        </w:rPr>
      </w:pPr>
    </w:p>
    <w:p w14:paraId="5C899B89" w14:textId="77777777" w:rsidR="00663088" w:rsidRPr="00663088" w:rsidRDefault="00663088" w:rsidP="00663088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4CDA38E5" w14:textId="075002AA" w:rsid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  <w:r w:rsidRPr="007E125A">
        <w:rPr>
          <w:bCs/>
          <w:sz w:val="24"/>
          <w:szCs w:val="24"/>
        </w:rPr>
        <w:t>Il dialogo come confronto e come strumento di crescita. L’installazione dell’artista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 xml:space="preserve">Mimmo Paladino, con la curatela di Flavio </w:t>
      </w:r>
      <w:proofErr w:type="spellStart"/>
      <w:r w:rsidRPr="007E125A">
        <w:rPr>
          <w:bCs/>
          <w:sz w:val="24"/>
          <w:szCs w:val="24"/>
        </w:rPr>
        <w:t>Arensi</w:t>
      </w:r>
      <w:proofErr w:type="spellEnd"/>
      <w:r>
        <w:rPr>
          <w:bCs/>
          <w:sz w:val="24"/>
          <w:szCs w:val="24"/>
        </w:rPr>
        <w:t xml:space="preserve"> ed Eugenio Gazzola</w:t>
      </w:r>
      <w:r w:rsidRPr="007E125A">
        <w:rPr>
          <w:bCs/>
          <w:sz w:val="24"/>
          <w:szCs w:val="24"/>
        </w:rPr>
        <w:t>, che trova spazio nel cuore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di Piacenza, in quella piazza dei Cavalli che è luogo simbolo e antica agorà della nostra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città, ha nel visivo e diretto confronto con le statue equestri di Alessandro e Ranuccio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Farnese del maestro Francesco Mochi una delle più concrete espressioni di quel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concetto di “Crocevia di Culture” che abbiamo voluto proporre come titolo e profonda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essenza del ricco calendario di iniziative culturali e artistiche legate a Piacenza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2020-2021. Un crocevia di culture che da sempre ha caratterizzato il nostro territorio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per divenire strumento di arricchimento e di crescita; un cammino che dobbiamo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percorrere con sempre maggiore convinzione.</w:t>
      </w:r>
    </w:p>
    <w:p w14:paraId="2382E9EF" w14:textId="77777777" w:rsidR="007E125A" w:rsidRP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</w:p>
    <w:p w14:paraId="64CF1BAB" w14:textId="705535CF" w:rsid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  <w:r w:rsidRPr="007E125A">
        <w:rPr>
          <w:bCs/>
          <w:sz w:val="24"/>
          <w:szCs w:val="24"/>
        </w:rPr>
        <w:t>L’impegno che come Amministrazione comunale abbiamo assunto dall’inizio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del mandato per tutelare e promuovere l’eccezionale patrimonio storico e artistico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della nostra città, non disgiunto da un’attesa e auspicata ricaduta a livello turistico,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nasce profondamente nel solco del dialogo – tra istituzioni, enti, associazioni e privati –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cogliendo da quello le migliori opportunità.</w:t>
      </w:r>
    </w:p>
    <w:p w14:paraId="0FFE4B0D" w14:textId="77777777" w:rsidR="007E125A" w:rsidRP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</w:p>
    <w:p w14:paraId="0992F856" w14:textId="2991E726" w:rsid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  <w:r w:rsidRPr="007E125A">
        <w:rPr>
          <w:bCs/>
          <w:sz w:val="24"/>
          <w:szCs w:val="24"/>
        </w:rPr>
        <w:t>In questo senso si è sviluppato l’impegno che ha unito il Comune con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Fondazione di Piacenza e Vigevano, Diocesi di Piacenza-Bobbio e Camera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di Commercio e che ha permesso anche di sviluppare quel palinsesto di proposte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artistiche e culturali in cui l’installazione si inserisce.</w:t>
      </w:r>
    </w:p>
    <w:p w14:paraId="5D5D63D6" w14:textId="77777777" w:rsidR="007E125A" w:rsidRP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</w:p>
    <w:p w14:paraId="06193D60" w14:textId="62CBEA12" w:rsid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  <w:r w:rsidRPr="007E125A">
        <w:rPr>
          <w:bCs/>
          <w:sz w:val="24"/>
          <w:szCs w:val="24"/>
        </w:rPr>
        <w:t>La proposta artistica di Mimmo Paladino, che abbiamo inteso accogliere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nella piazza principale della città, richiama, esaltandolo, il valore monumentale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di piazza dei Cavalli, in un più ampio progetto di valorizzazione del patrimonio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 xml:space="preserve">storico, artistico e culturale che investe tutta la città. Opere come </w:t>
      </w:r>
      <w:r w:rsidRPr="007E125A">
        <w:rPr>
          <w:bCs/>
          <w:i/>
          <w:iCs/>
          <w:sz w:val="24"/>
          <w:szCs w:val="24"/>
        </w:rPr>
        <w:t xml:space="preserve">Il tondo </w:t>
      </w:r>
      <w:r w:rsidRPr="007E125A">
        <w:rPr>
          <w:bCs/>
          <w:sz w:val="24"/>
          <w:szCs w:val="24"/>
        </w:rPr>
        <w:t>di Botticelli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in Palazzo Farnese, passando per l’</w:t>
      </w:r>
      <w:r w:rsidRPr="007E125A">
        <w:rPr>
          <w:bCs/>
          <w:i/>
          <w:iCs/>
          <w:sz w:val="24"/>
          <w:szCs w:val="24"/>
        </w:rPr>
        <w:t xml:space="preserve">Ecce Homo </w:t>
      </w:r>
      <w:r w:rsidRPr="007E125A">
        <w:rPr>
          <w:bCs/>
          <w:sz w:val="24"/>
          <w:szCs w:val="24"/>
        </w:rPr>
        <w:t>in galleria Alberoni, senza ovviamente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 xml:space="preserve">dimenticare il </w:t>
      </w:r>
      <w:r w:rsidRPr="007E125A">
        <w:rPr>
          <w:bCs/>
          <w:i/>
          <w:iCs/>
          <w:sz w:val="24"/>
          <w:szCs w:val="24"/>
        </w:rPr>
        <w:t xml:space="preserve">Ritratto di signora </w:t>
      </w:r>
      <w:r w:rsidRPr="007E125A">
        <w:rPr>
          <w:bCs/>
          <w:sz w:val="24"/>
          <w:szCs w:val="24"/>
        </w:rPr>
        <w:t>di Gustav Klimt alla galleria Ricci Oddi sono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solo alcuni degli innumerevoli esempi di tesori che la nostra città vanta e che deve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orgogliosamente rendere il più possibile fruibili, combinando sinergicamente il prezioso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lavoro di cura e tutela dell’arte e dei suoi luoghi da un lato, con un lungimirante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impegno di promozione dall’altro.</w:t>
      </w:r>
    </w:p>
    <w:p w14:paraId="43DFB2DE" w14:textId="77777777" w:rsidR="007E125A" w:rsidRP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</w:p>
    <w:p w14:paraId="01ED8B29" w14:textId="10584CF9" w:rsidR="00663088" w:rsidRPr="007E125A" w:rsidRDefault="007E125A" w:rsidP="007E125A">
      <w:pPr>
        <w:spacing w:after="0" w:line="240" w:lineRule="auto"/>
        <w:jc w:val="both"/>
        <w:rPr>
          <w:bCs/>
          <w:sz w:val="24"/>
          <w:szCs w:val="24"/>
        </w:rPr>
      </w:pPr>
      <w:r w:rsidRPr="007E125A">
        <w:rPr>
          <w:bCs/>
          <w:sz w:val="24"/>
          <w:szCs w:val="24"/>
        </w:rPr>
        <w:t>Nel dare quindi il benvenuto all’installazione di Mimmo Paladino, auspico che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proprio da quel confronto e simbolico dialogo tra quest’opera e i cavalli farnesiani possa</w:t>
      </w:r>
      <w:r>
        <w:rPr>
          <w:bCs/>
          <w:sz w:val="24"/>
          <w:szCs w:val="24"/>
        </w:rPr>
        <w:t xml:space="preserve"> </w:t>
      </w:r>
      <w:r w:rsidRPr="007E125A">
        <w:rPr>
          <w:bCs/>
          <w:sz w:val="24"/>
          <w:szCs w:val="24"/>
        </w:rPr>
        <w:t>nascere, all’ombra del Palazzo Gotico, ulteriore occasione di arricchimento culturale.</w:t>
      </w:r>
    </w:p>
    <w:p w14:paraId="22FBF03F" w14:textId="363C5317" w:rsidR="00663088" w:rsidRPr="007E125A" w:rsidRDefault="00663088" w:rsidP="00663088">
      <w:pPr>
        <w:spacing w:after="0" w:line="240" w:lineRule="auto"/>
        <w:jc w:val="both"/>
        <w:rPr>
          <w:bCs/>
          <w:sz w:val="24"/>
          <w:szCs w:val="24"/>
        </w:rPr>
      </w:pPr>
    </w:p>
    <w:p w14:paraId="526D087B" w14:textId="34558414" w:rsidR="00663088" w:rsidRPr="007E125A" w:rsidRDefault="00663088" w:rsidP="001F41D0">
      <w:pPr>
        <w:spacing w:after="0" w:line="240" w:lineRule="auto"/>
        <w:jc w:val="both"/>
        <w:rPr>
          <w:bCs/>
          <w:sz w:val="28"/>
          <w:szCs w:val="28"/>
        </w:rPr>
      </w:pPr>
      <w:r w:rsidRPr="007E125A">
        <w:rPr>
          <w:bCs/>
          <w:sz w:val="24"/>
          <w:szCs w:val="24"/>
        </w:rPr>
        <w:t>Piacenza, 12 ottobre 2020</w:t>
      </w:r>
    </w:p>
    <w:sectPr w:rsidR="00663088" w:rsidRPr="007E125A" w:rsidSect="00663088">
      <w:pgSz w:w="11906" w:h="16838"/>
      <w:pgMar w:top="99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41"/>
    <w:rsid w:val="00122BBD"/>
    <w:rsid w:val="001562AD"/>
    <w:rsid w:val="001572E7"/>
    <w:rsid w:val="001863FF"/>
    <w:rsid w:val="001F41D0"/>
    <w:rsid w:val="002A2158"/>
    <w:rsid w:val="003F00AE"/>
    <w:rsid w:val="004101AC"/>
    <w:rsid w:val="00422053"/>
    <w:rsid w:val="00561441"/>
    <w:rsid w:val="005A04C4"/>
    <w:rsid w:val="00663088"/>
    <w:rsid w:val="006D6541"/>
    <w:rsid w:val="007203D2"/>
    <w:rsid w:val="00720B32"/>
    <w:rsid w:val="007E125A"/>
    <w:rsid w:val="00840703"/>
    <w:rsid w:val="008534E4"/>
    <w:rsid w:val="009D142C"/>
    <w:rsid w:val="009F10B5"/>
    <w:rsid w:val="00A4209F"/>
    <w:rsid w:val="00AC25CD"/>
    <w:rsid w:val="00B04DDC"/>
    <w:rsid w:val="00B37DA5"/>
    <w:rsid w:val="00B856EC"/>
    <w:rsid w:val="00BE5F4D"/>
    <w:rsid w:val="00C26E8E"/>
    <w:rsid w:val="00C30F9F"/>
    <w:rsid w:val="00D76765"/>
    <w:rsid w:val="00E87C4A"/>
    <w:rsid w:val="00ED218B"/>
    <w:rsid w:val="00F131BD"/>
    <w:rsid w:val="00F50617"/>
    <w:rsid w:val="00FA3F55"/>
    <w:rsid w:val="00FD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01FD"/>
  <w15:chartTrackingRefBased/>
  <w15:docId w15:val="{40459127-6CF7-4F7C-A712-4B70956C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7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72E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30F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30F9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1562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2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62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62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62AD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9F1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9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cp:lastPrinted>2020-08-27T08:48:00Z</cp:lastPrinted>
  <dcterms:created xsi:type="dcterms:W3CDTF">2020-10-07T14:28:00Z</dcterms:created>
  <dcterms:modified xsi:type="dcterms:W3CDTF">2020-10-07T14:28:00Z</dcterms:modified>
</cp:coreProperties>
</file>