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6"/>
        <w:gridCol w:w="2269"/>
        <w:gridCol w:w="2279"/>
        <w:gridCol w:w="2254"/>
      </w:tblGrid>
      <w:tr w:rsidR="009F10B5" w14:paraId="3BAA59CC" w14:textId="77777777" w:rsidTr="009F10B5">
        <w:tc>
          <w:tcPr>
            <w:tcW w:w="2826" w:type="dxa"/>
            <w:vAlign w:val="center"/>
          </w:tcPr>
          <w:p w14:paraId="480637CE" w14:textId="0083C23F" w:rsidR="009F10B5" w:rsidRDefault="009F10B5" w:rsidP="009F1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9BFA8DA" wp14:editId="31BC5099">
                  <wp:extent cx="1649798" cy="642083"/>
                  <wp:effectExtent l="0" t="0" r="7620" b="571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-EVENTI-20-21.g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3572" cy="686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vAlign w:val="center"/>
          </w:tcPr>
          <w:p w14:paraId="3197A943" w14:textId="7CBEA403" w:rsidR="009F10B5" w:rsidRDefault="009F10B5" w:rsidP="009F1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8A7148E" wp14:editId="63113A9E">
                  <wp:extent cx="1039568" cy="944540"/>
                  <wp:effectExtent l="0" t="0" r="825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251" cy="95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vAlign w:val="center"/>
          </w:tcPr>
          <w:p w14:paraId="2245377F" w14:textId="31F283B3" w:rsidR="009F10B5" w:rsidRDefault="009F10B5" w:rsidP="009F1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FB32585" wp14:editId="023422D9">
                  <wp:extent cx="1074388" cy="707097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057" cy="716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  <w:vAlign w:val="center"/>
          </w:tcPr>
          <w:p w14:paraId="546ED9E7" w14:textId="306A1E2B" w:rsidR="009F10B5" w:rsidRDefault="009F10B5" w:rsidP="009F1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2141669" wp14:editId="0BD9E81C">
                  <wp:extent cx="1007745" cy="1007745"/>
                  <wp:effectExtent l="0" t="0" r="1905" b="190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808" cy="1021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95D030" w14:textId="77777777" w:rsidR="001729A1" w:rsidRDefault="00EF4419" w:rsidP="00F90CC5">
      <w:pPr>
        <w:spacing w:before="120" w:after="0"/>
        <w:jc w:val="both"/>
        <w:rPr>
          <w:b/>
          <w:sz w:val="28"/>
          <w:szCs w:val="28"/>
        </w:rPr>
      </w:pPr>
      <w:r w:rsidRPr="00EF4419">
        <w:rPr>
          <w:b/>
          <w:sz w:val="28"/>
          <w:szCs w:val="28"/>
        </w:rPr>
        <w:t>EUGENIO GAZZOLA</w:t>
      </w:r>
    </w:p>
    <w:p w14:paraId="42271223" w14:textId="0D1FB0BA" w:rsidR="001729A1" w:rsidRDefault="001729A1" w:rsidP="00F90CC5">
      <w:pPr>
        <w:spacing w:after="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Curatore dell’iniziativa</w:t>
      </w:r>
    </w:p>
    <w:p w14:paraId="11D54EAD" w14:textId="7BF35C41" w:rsidR="00663088" w:rsidRPr="00663088" w:rsidRDefault="00EF4419" w:rsidP="00EF4419">
      <w:pPr>
        <w:spacing w:after="0"/>
        <w:jc w:val="both"/>
        <w:rPr>
          <w:b/>
          <w:sz w:val="28"/>
          <w:szCs w:val="28"/>
        </w:rPr>
      </w:pPr>
      <w:r w:rsidRPr="00EF4419">
        <w:rPr>
          <w:b/>
          <w:sz w:val="28"/>
          <w:szCs w:val="28"/>
        </w:rPr>
        <w:t>GIORGIO MILANI</w:t>
      </w:r>
    </w:p>
    <w:p w14:paraId="6D4CCABB" w14:textId="77BA79B5" w:rsidR="001729A1" w:rsidRDefault="001729A1" w:rsidP="00663088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Commission</w:t>
      </w:r>
      <w:r w:rsidR="003A6EA1"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 xml:space="preserve"> Arte e Cultura della Fondazione di Piacenza e Vigevano</w:t>
      </w:r>
    </w:p>
    <w:p w14:paraId="28319E26" w14:textId="4483735D" w:rsidR="00C30F9F" w:rsidRDefault="00C30F9F" w:rsidP="001562AD">
      <w:pPr>
        <w:spacing w:after="0" w:line="276" w:lineRule="auto"/>
        <w:jc w:val="both"/>
        <w:rPr>
          <w:bCs/>
          <w:sz w:val="23"/>
          <w:szCs w:val="23"/>
        </w:rPr>
      </w:pPr>
    </w:p>
    <w:p w14:paraId="2A1819D5" w14:textId="6E8D794A" w:rsidR="00663088" w:rsidRDefault="000D790F" w:rsidP="00663088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  <w:r w:rsidRPr="000D790F">
        <w:rPr>
          <w:b/>
          <w:bCs/>
          <w:i/>
          <w:iCs/>
          <w:sz w:val="24"/>
          <w:szCs w:val="24"/>
        </w:rPr>
        <w:t>La lunga marcia di Piacenza verso l’arte del nostro tempo</w:t>
      </w:r>
      <w:r>
        <w:rPr>
          <w:b/>
          <w:bCs/>
          <w:i/>
          <w:iCs/>
          <w:sz w:val="24"/>
          <w:szCs w:val="24"/>
        </w:rPr>
        <w:t xml:space="preserve"> </w:t>
      </w:r>
      <w:r w:rsidR="00331C02">
        <w:rPr>
          <w:b/>
          <w:bCs/>
          <w:i/>
          <w:iCs/>
          <w:sz w:val="24"/>
          <w:szCs w:val="24"/>
        </w:rPr>
        <w:t>*</w:t>
      </w:r>
    </w:p>
    <w:p w14:paraId="5C899B89" w14:textId="77777777" w:rsidR="00663088" w:rsidRPr="00663088" w:rsidRDefault="00663088" w:rsidP="00663088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3139E7C4" w14:textId="248144B1" w:rsidR="000D790F" w:rsidRPr="000D790F" w:rsidRDefault="000D790F" w:rsidP="000D790F">
      <w:pPr>
        <w:spacing w:after="0" w:line="240" w:lineRule="auto"/>
        <w:jc w:val="both"/>
        <w:rPr>
          <w:bCs/>
        </w:rPr>
      </w:pPr>
      <w:r w:rsidRPr="000D790F">
        <w:rPr>
          <w:bCs/>
        </w:rPr>
        <w:t>Il dialogo innescato dall’intervento di Mimmo Paladino in piazza Cavalli, così</w:t>
      </w:r>
      <w:r w:rsidRPr="000D790F">
        <w:rPr>
          <w:bCs/>
        </w:rPr>
        <w:t xml:space="preserve"> </w:t>
      </w:r>
      <w:r w:rsidRPr="000D790F">
        <w:rPr>
          <w:bCs/>
        </w:rPr>
        <w:t>collocato tra storia e tradizione, tra arte del passato e arte del presente, racchiude</w:t>
      </w:r>
      <w:r w:rsidRPr="000D790F">
        <w:rPr>
          <w:bCs/>
        </w:rPr>
        <w:t xml:space="preserve"> </w:t>
      </w:r>
      <w:r w:rsidRPr="000D790F">
        <w:rPr>
          <w:bCs/>
        </w:rPr>
        <w:t>in un solo evento il rapporto tra la città di Piacenza e l’arte del nostro tempo.</w:t>
      </w:r>
      <w:r w:rsidRPr="000D790F">
        <w:rPr>
          <w:bCs/>
        </w:rPr>
        <w:t xml:space="preserve"> </w:t>
      </w:r>
      <w:r w:rsidRPr="000D790F">
        <w:rPr>
          <w:bCs/>
        </w:rPr>
        <w:t>“Una lunga marcia nelle istituzioni”: niente meglio della celebre immagine</w:t>
      </w:r>
      <w:r w:rsidRPr="000D790F">
        <w:rPr>
          <w:bCs/>
        </w:rPr>
        <w:t xml:space="preserve"> </w:t>
      </w:r>
      <w:r w:rsidRPr="000D790F">
        <w:rPr>
          <w:bCs/>
        </w:rPr>
        <w:t>coniata dal sociologo Rudi Dutschke, leader del movimento studentesco berlinese</w:t>
      </w:r>
      <w:r w:rsidRPr="000D790F">
        <w:rPr>
          <w:bCs/>
        </w:rPr>
        <w:t xml:space="preserve"> </w:t>
      </w:r>
      <w:r w:rsidRPr="000D790F">
        <w:rPr>
          <w:bCs/>
        </w:rPr>
        <w:t>tra il 1967 e il 1968, rende l’idea del progressivo, faticoso avvicinamento della città</w:t>
      </w:r>
      <w:r w:rsidRPr="000D790F">
        <w:rPr>
          <w:bCs/>
        </w:rPr>
        <w:t xml:space="preserve"> </w:t>
      </w:r>
      <w:r w:rsidRPr="000D790F">
        <w:rPr>
          <w:bCs/>
        </w:rPr>
        <w:t>all’arte di oggi. Una marcia durata poco meno di quarant’anni verso istituzioni</w:t>
      </w:r>
      <w:r w:rsidRPr="000D790F">
        <w:rPr>
          <w:bCs/>
        </w:rPr>
        <w:t xml:space="preserve"> </w:t>
      </w:r>
      <w:r w:rsidRPr="000D790F">
        <w:rPr>
          <w:bCs/>
        </w:rPr>
        <w:t>ed enti con giurisdizione sui programmi, sugli spazi, sulle risorse necessarie</w:t>
      </w:r>
      <w:r w:rsidRPr="000D790F">
        <w:rPr>
          <w:bCs/>
        </w:rPr>
        <w:t xml:space="preserve"> </w:t>
      </w:r>
      <w:r w:rsidRPr="000D790F">
        <w:rPr>
          <w:bCs/>
        </w:rPr>
        <w:t>a promuovere l’arte: istituzioni quali il Comune e la Provincia di Piacenza,</w:t>
      </w:r>
      <w:r w:rsidRPr="000D790F">
        <w:rPr>
          <w:bCs/>
        </w:rPr>
        <w:t xml:space="preserve"> </w:t>
      </w:r>
      <w:r w:rsidRPr="000D790F">
        <w:rPr>
          <w:bCs/>
        </w:rPr>
        <w:t>la Regione Emilia Romagna, la galleria d’arte moderna Ricci Oddi, la stessa</w:t>
      </w:r>
      <w:r w:rsidRPr="000D790F">
        <w:rPr>
          <w:bCs/>
        </w:rPr>
        <w:t xml:space="preserve"> </w:t>
      </w:r>
      <w:r w:rsidRPr="000D790F">
        <w:rPr>
          <w:bCs/>
        </w:rPr>
        <w:t>Fondazione di Piacenza e Vigevano. In ciascuna di esse era necessario inoculare</w:t>
      </w:r>
      <w:r w:rsidRPr="000D790F">
        <w:rPr>
          <w:bCs/>
        </w:rPr>
        <w:t xml:space="preserve"> </w:t>
      </w:r>
      <w:r w:rsidRPr="000D790F">
        <w:rPr>
          <w:bCs/>
        </w:rPr>
        <w:t>l’interesse verso un linguaggio certamente nuovo e complesso, ma non ostile</w:t>
      </w:r>
      <w:r w:rsidRPr="000D790F">
        <w:rPr>
          <w:bCs/>
        </w:rPr>
        <w:t xml:space="preserve"> </w:t>
      </w:r>
      <w:r w:rsidRPr="000D790F">
        <w:rPr>
          <w:bCs/>
        </w:rPr>
        <w:t>e soprattutto non “difficile”, come si tende a ritenere un po’ per timore di contrasti</w:t>
      </w:r>
      <w:r w:rsidRPr="000D790F">
        <w:rPr>
          <w:bCs/>
        </w:rPr>
        <w:t xml:space="preserve"> </w:t>
      </w:r>
      <w:r w:rsidRPr="000D790F">
        <w:rPr>
          <w:bCs/>
        </w:rPr>
        <w:t>e un po’ per pigrizia e disimpegno.</w:t>
      </w:r>
    </w:p>
    <w:p w14:paraId="362B33E5" w14:textId="2DF17DD6" w:rsidR="000D790F" w:rsidRPr="000D790F" w:rsidRDefault="000D790F" w:rsidP="000D790F">
      <w:pPr>
        <w:spacing w:after="0" w:line="240" w:lineRule="auto"/>
        <w:jc w:val="both"/>
        <w:rPr>
          <w:bCs/>
        </w:rPr>
      </w:pPr>
      <w:r w:rsidRPr="000D790F">
        <w:rPr>
          <w:bCs/>
        </w:rPr>
        <w:t>Una descrizione delle tappe principali della lunga marcia sarà utile</w:t>
      </w:r>
      <w:r w:rsidRPr="000D790F">
        <w:rPr>
          <w:bCs/>
        </w:rPr>
        <w:t xml:space="preserve"> </w:t>
      </w:r>
      <w:r w:rsidRPr="000D790F">
        <w:rPr>
          <w:bCs/>
        </w:rPr>
        <w:t>a comprenderne i contenuti, le azioni, i significati anche sociali e anche politici</w:t>
      </w:r>
      <w:r w:rsidRPr="000D790F">
        <w:rPr>
          <w:bCs/>
        </w:rPr>
        <w:t xml:space="preserve"> </w:t>
      </w:r>
      <w:r w:rsidRPr="000D790F">
        <w:rPr>
          <w:bCs/>
        </w:rPr>
        <w:t>che ha portato con sé.</w:t>
      </w:r>
    </w:p>
    <w:p w14:paraId="41FF84C6" w14:textId="2357DC36" w:rsidR="00331C02" w:rsidRPr="000D790F" w:rsidRDefault="000D790F" w:rsidP="000D790F">
      <w:pPr>
        <w:spacing w:after="0" w:line="240" w:lineRule="auto"/>
        <w:jc w:val="both"/>
        <w:rPr>
          <w:bCs/>
        </w:rPr>
      </w:pPr>
      <w:r w:rsidRPr="000D790F">
        <w:rPr>
          <w:bCs/>
        </w:rPr>
        <w:t>Cominciamo dal 1983, quando la prima delle istituzioni piacentine,</w:t>
      </w:r>
      <w:r w:rsidRPr="000D790F">
        <w:rPr>
          <w:bCs/>
        </w:rPr>
        <w:t xml:space="preserve"> </w:t>
      </w:r>
      <w:r w:rsidRPr="000D790F">
        <w:rPr>
          <w:bCs/>
        </w:rPr>
        <w:t>il Comune di Piacenza, con giunta di sinistra a guida Stefano Pareti e assessore</w:t>
      </w:r>
      <w:r w:rsidRPr="000D790F">
        <w:rPr>
          <w:bCs/>
        </w:rPr>
        <w:t xml:space="preserve"> </w:t>
      </w:r>
      <w:r w:rsidRPr="000D790F">
        <w:rPr>
          <w:bCs/>
        </w:rPr>
        <w:t>Aldo Lanati, commissiona a Renato Barilli, storico dell’arte e critico militante,</w:t>
      </w:r>
      <w:r w:rsidRPr="000D790F">
        <w:rPr>
          <w:bCs/>
        </w:rPr>
        <w:t xml:space="preserve"> </w:t>
      </w:r>
      <w:r w:rsidRPr="000D790F">
        <w:rPr>
          <w:bCs/>
        </w:rPr>
        <w:t>professore al dams di Bologna, un progetto per il recupero della chiesa di</w:t>
      </w:r>
      <w:r w:rsidRPr="000D790F">
        <w:rPr>
          <w:bCs/>
        </w:rPr>
        <w:t xml:space="preserve"> </w:t>
      </w:r>
      <w:r w:rsidRPr="000D790F">
        <w:rPr>
          <w:bCs/>
        </w:rPr>
        <w:t>Sant’Ilario in funzione di centro culturale polivalente. Perché Barilli? Perché</w:t>
      </w:r>
      <w:r w:rsidRPr="000D790F">
        <w:rPr>
          <w:bCs/>
        </w:rPr>
        <w:t xml:space="preserve"> </w:t>
      </w:r>
      <w:r w:rsidRPr="000D790F">
        <w:rPr>
          <w:bCs/>
        </w:rPr>
        <w:t>per due anni consecutivi il critico bolognese, insieme a Francesca Alinovi, aveva</w:t>
      </w:r>
      <w:r w:rsidRPr="000D790F">
        <w:rPr>
          <w:bCs/>
        </w:rPr>
        <w:t xml:space="preserve"> </w:t>
      </w:r>
      <w:r w:rsidRPr="000D790F">
        <w:rPr>
          <w:bCs/>
        </w:rPr>
        <w:t>inserito Piacenza in un circuito di iniziative espositive con altri centri emiliani. Il</w:t>
      </w:r>
      <w:r w:rsidRPr="000D790F">
        <w:rPr>
          <w:bCs/>
        </w:rPr>
        <w:t xml:space="preserve"> </w:t>
      </w:r>
      <w:r w:rsidRPr="000D790F">
        <w:rPr>
          <w:bCs/>
        </w:rPr>
        <w:t xml:space="preserve">primo ciclo era dedicato alla </w:t>
      </w:r>
      <w:r w:rsidRPr="000D790F">
        <w:rPr>
          <w:bCs/>
          <w:i/>
          <w:iCs/>
        </w:rPr>
        <w:t xml:space="preserve">performance </w:t>
      </w:r>
      <w:r w:rsidRPr="000D790F">
        <w:rPr>
          <w:bCs/>
        </w:rPr>
        <w:t>e aveva titolo: “Tutte le arti tendono alla</w:t>
      </w:r>
      <w:r w:rsidRPr="000D790F">
        <w:rPr>
          <w:bCs/>
        </w:rPr>
        <w:t xml:space="preserve"> </w:t>
      </w:r>
      <w:r w:rsidRPr="000D790F">
        <w:rPr>
          <w:bCs/>
        </w:rPr>
        <w:t>performance”; il secondo, “Informazione 80”, rifletteva sulle tendenze affacciatesi</w:t>
      </w:r>
      <w:r w:rsidRPr="000D790F">
        <w:rPr>
          <w:bCs/>
        </w:rPr>
        <w:t xml:space="preserve"> </w:t>
      </w:r>
      <w:r w:rsidRPr="000D790F">
        <w:rPr>
          <w:bCs/>
        </w:rPr>
        <w:t>al nuovo decennio. Due novità assolute, e infatti una buona parte della città</w:t>
      </w:r>
      <w:r w:rsidRPr="000D790F">
        <w:rPr>
          <w:bCs/>
        </w:rPr>
        <w:t xml:space="preserve"> </w:t>
      </w:r>
      <w:r w:rsidRPr="000D790F">
        <w:rPr>
          <w:bCs/>
        </w:rPr>
        <w:t>ne fu disturbata.</w:t>
      </w:r>
      <w:r w:rsidRPr="000D790F">
        <w:rPr>
          <w:bCs/>
        </w:rPr>
        <w:t xml:space="preserve"> </w:t>
      </w:r>
      <w:r w:rsidRPr="000D790F">
        <w:rPr>
          <w:bCs/>
        </w:rPr>
        <w:t>Il progetto di Barilli per Sant’Ilario prevedeva uno spazio diviso in due</w:t>
      </w:r>
      <w:r w:rsidRPr="000D790F">
        <w:rPr>
          <w:bCs/>
        </w:rPr>
        <w:t xml:space="preserve"> </w:t>
      </w:r>
      <w:r w:rsidRPr="000D790F">
        <w:rPr>
          <w:bCs/>
        </w:rPr>
        <w:t>livelli, sopra e sotto, in cui la cultura contemporanea, di per sé indefinibile e</w:t>
      </w:r>
      <w:r w:rsidRPr="000D790F">
        <w:rPr>
          <w:bCs/>
        </w:rPr>
        <w:t xml:space="preserve"> </w:t>
      </w:r>
      <w:r w:rsidRPr="000D790F">
        <w:rPr>
          <w:bCs/>
        </w:rPr>
        <w:t>indefinita, che corre via mentre si fa e si guarda, fosse presentata al meglio in tutte</w:t>
      </w:r>
      <w:r w:rsidRPr="000D790F">
        <w:rPr>
          <w:bCs/>
        </w:rPr>
        <w:t xml:space="preserve"> </w:t>
      </w:r>
      <w:r w:rsidRPr="000D790F">
        <w:rPr>
          <w:bCs/>
        </w:rPr>
        <w:t>le sue espressioni (non solo l’arte visiva) e attraverso i vari mezzi allora in uso: le</w:t>
      </w:r>
      <w:r w:rsidRPr="000D790F">
        <w:rPr>
          <w:bCs/>
        </w:rPr>
        <w:t xml:space="preserve"> </w:t>
      </w:r>
      <w:r w:rsidRPr="000D790F">
        <w:rPr>
          <w:bCs/>
        </w:rPr>
        <w:t>mostre, i dibattiti, le proiezioni, l’emeroteca. Il progetto era ambizioso e difficile.</w:t>
      </w:r>
    </w:p>
    <w:p w14:paraId="70D0FCB0" w14:textId="52F250DB" w:rsidR="000D790F" w:rsidRPr="000D790F" w:rsidRDefault="000D790F" w:rsidP="000D790F">
      <w:pPr>
        <w:spacing w:after="0" w:line="240" w:lineRule="auto"/>
        <w:jc w:val="both"/>
        <w:rPr>
          <w:bCs/>
        </w:rPr>
      </w:pPr>
      <w:r w:rsidRPr="000D790F">
        <w:rPr>
          <w:bCs/>
        </w:rPr>
        <w:t>Trascorsero un paio d’anni di riflessione (anche economica), poi la giunta terminò</w:t>
      </w:r>
      <w:r w:rsidRPr="000D790F">
        <w:rPr>
          <w:bCs/>
        </w:rPr>
        <w:t xml:space="preserve"> </w:t>
      </w:r>
      <w:r w:rsidRPr="000D790F">
        <w:rPr>
          <w:bCs/>
        </w:rPr>
        <w:t>il proprio mandato e quella successiva, d’altro colore e d’altri obiettivi, lo ripose</w:t>
      </w:r>
      <w:r w:rsidRPr="000D790F">
        <w:rPr>
          <w:bCs/>
        </w:rPr>
        <w:t xml:space="preserve"> </w:t>
      </w:r>
      <w:r w:rsidRPr="000D790F">
        <w:rPr>
          <w:bCs/>
        </w:rPr>
        <w:t>nel cassetto.</w:t>
      </w:r>
    </w:p>
    <w:p w14:paraId="1D993B0A" w14:textId="00F7E0BE" w:rsidR="000D790F" w:rsidRPr="000D790F" w:rsidRDefault="000D790F" w:rsidP="000D790F">
      <w:pPr>
        <w:spacing w:after="0" w:line="240" w:lineRule="auto"/>
        <w:jc w:val="both"/>
        <w:rPr>
          <w:bCs/>
        </w:rPr>
      </w:pPr>
      <w:r w:rsidRPr="000D790F">
        <w:rPr>
          <w:bCs/>
        </w:rPr>
        <w:t>Seconda occasione nel 1991-1992: sindaco Franco Benaglia e assessore</w:t>
      </w:r>
      <w:r w:rsidRPr="000D790F">
        <w:rPr>
          <w:bCs/>
        </w:rPr>
        <w:t xml:space="preserve"> </w:t>
      </w:r>
      <w:r w:rsidRPr="000D790F">
        <w:rPr>
          <w:bCs/>
        </w:rPr>
        <w:t>Ferrante Trambaglio. In quel caso l’amministrazione accolse una proposta per</w:t>
      </w:r>
      <w:r w:rsidRPr="000D790F">
        <w:rPr>
          <w:bCs/>
        </w:rPr>
        <w:t xml:space="preserve"> </w:t>
      </w:r>
      <w:r w:rsidRPr="000D790F">
        <w:rPr>
          <w:bCs/>
        </w:rPr>
        <w:t>estendere l’attività (pressoché inesistente) della galleria Ricci Oddi a occasioni</w:t>
      </w:r>
      <w:r w:rsidRPr="000D790F">
        <w:rPr>
          <w:bCs/>
        </w:rPr>
        <w:t xml:space="preserve"> </w:t>
      </w:r>
      <w:r w:rsidRPr="000D790F">
        <w:rPr>
          <w:bCs/>
        </w:rPr>
        <w:t>di documentazione dell’arte nuova. La galleria doveva rimanere quella che è,</w:t>
      </w:r>
      <w:r w:rsidRPr="000D790F">
        <w:rPr>
          <w:bCs/>
        </w:rPr>
        <w:t xml:space="preserve"> </w:t>
      </w:r>
      <w:r w:rsidRPr="000D790F">
        <w:rPr>
          <w:bCs/>
        </w:rPr>
        <w:t>ovvero luogo di conservazione di un’ottima collezione che da metà Ottocento</w:t>
      </w:r>
      <w:r w:rsidRPr="000D790F">
        <w:rPr>
          <w:bCs/>
        </w:rPr>
        <w:t xml:space="preserve"> </w:t>
      </w:r>
      <w:r w:rsidRPr="000D790F">
        <w:rPr>
          <w:bCs/>
        </w:rPr>
        <w:t>arriva al primo quarto di Novecento, e tuttavia poteva esservi tra le sue attività</w:t>
      </w:r>
      <w:r w:rsidRPr="000D790F">
        <w:rPr>
          <w:bCs/>
        </w:rPr>
        <w:t xml:space="preserve"> </w:t>
      </w:r>
      <w:r w:rsidRPr="000D790F">
        <w:rPr>
          <w:bCs/>
        </w:rPr>
        <w:t>una ricognizione nei territori del presente. Fu avanzato un programma di cinque</w:t>
      </w:r>
      <w:r w:rsidRPr="000D790F">
        <w:rPr>
          <w:bCs/>
        </w:rPr>
        <w:t xml:space="preserve"> </w:t>
      </w:r>
      <w:r w:rsidRPr="000D790F">
        <w:rPr>
          <w:bCs/>
        </w:rPr>
        <w:t>piccole mostre, ciascuna incentrata su un periodo o una tendenza dal dopoguerra</w:t>
      </w:r>
      <w:r w:rsidRPr="000D790F">
        <w:rPr>
          <w:bCs/>
        </w:rPr>
        <w:t xml:space="preserve"> </w:t>
      </w:r>
      <w:r w:rsidRPr="000D790F">
        <w:rPr>
          <w:bCs/>
        </w:rPr>
        <w:t>in avanti. Riuscimmo ad allestire solo la prima mostra, dedicata a Mimmo Rotella</w:t>
      </w:r>
      <w:r w:rsidRPr="000D790F">
        <w:rPr>
          <w:bCs/>
        </w:rPr>
        <w:t xml:space="preserve"> </w:t>
      </w:r>
      <w:r w:rsidRPr="000D790F">
        <w:rPr>
          <w:bCs/>
        </w:rPr>
        <w:t>e curata da Angela Vettese. Poi il progetto abortì per dissidi anche politici.</w:t>
      </w:r>
      <w:r w:rsidRPr="000D790F">
        <w:rPr>
          <w:bCs/>
        </w:rPr>
        <w:t xml:space="preserve"> </w:t>
      </w:r>
      <w:r w:rsidRPr="000D790F">
        <w:rPr>
          <w:bCs/>
        </w:rPr>
        <w:t>Mise parzialmente una pezza all’improvviso disarmo la grande rassegna</w:t>
      </w:r>
      <w:r w:rsidRPr="000D790F">
        <w:rPr>
          <w:bCs/>
        </w:rPr>
        <w:t xml:space="preserve"> </w:t>
      </w:r>
      <w:r w:rsidRPr="000D790F">
        <w:rPr>
          <w:bCs/>
        </w:rPr>
        <w:t>sull’arte giovane intitolata “Retablo”, con una cinquantina di artisti italiani</w:t>
      </w:r>
      <w:r w:rsidRPr="000D790F">
        <w:rPr>
          <w:bCs/>
        </w:rPr>
        <w:t xml:space="preserve"> </w:t>
      </w:r>
      <w:r w:rsidRPr="000D790F">
        <w:rPr>
          <w:bCs/>
        </w:rPr>
        <w:t>e la collaborazione tra Comune, cgil e galleria Placentia arte, la prima a Piacenza</w:t>
      </w:r>
      <w:r w:rsidRPr="000D790F">
        <w:rPr>
          <w:bCs/>
        </w:rPr>
        <w:t xml:space="preserve"> </w:t>
      </w:r>
      <w:r w:rsidRPr="000D790F">
        <w:rPr>
          <w:bCs/>
        </w:rPr>
        <w:t>a occuparsi di sola arte contemporanea (curatori ne furono Parmesani, Gazzola,</w:t>
      </w:r>
      <w:r w:rsidRPr="000D790F">
        <w:rPr>
          <w:bCs/>
        </w:rPr>
        <w:t xml:space="preserve"> </w:t>
      </w:r>
      <w:r w:rsidRPr="000D790F">
        <w:rPr>
          <w:bCs/>
        </w:rPr>
        <w:t>Perretta). Poi fu di nuovo silenzio.</w:t>
      </w:r>
    </w:p>
    <w:p w14:paraId="020296C6" w14:textId="0CEF5550" w:rsidR="000D790F" w:rsidRPr="000D790F" w:rsidRDefault="000D790F" w:rsidP="000D790F">
      <w:pPr>
        <w:spacing w:after="0" w:line="240" w:lineRule="auto"/>
        <w:jc w:val="both"/>
        <w:rPr>
          <w:bCs/>
        </w:rPr>
      </w:pPr>
      <w:r w:rsidRPr="000D790F">
        <w:rPr>
          <w:bCs/>
        </w:rPr>
        <w:t>Nel 1996, giunta Giacomo Vaciago e assessore Vittorio Anelli, ponemmo</w:t>
      </w:r>
      <w:r w:rsidRPr="000D790F">
        <w:rPr>
          <w:bCs/>
        </w:rPr>
        <w:t xml:space="preserve"> </w:t>
      </w:r>
      <w:r w:rsidRPr="000D790F">
        <w:rPr>
          <w:bCs/>
        </w:rPr>
        <w:t>mano a una rassegna sulla ricerca artistica a Piacenza che si tenne a Palazzo Gotico.</w:t>
      </w:r>
      <w:r w:rsidRPr="000D790F">
        <w:rPr>
          <w:bCs/>
        </w:rPr>
        <w:t xml:space="preserve"> </w:t>
      </w:r>
      <w:r w:rsidRPr="000D790F">
        <w:rPr>
          <w:bCs/>
        </w:rPr>
        <w:t>Fu il modo per dimostrare come l’innovazione, il mutamento, la sperimentazione</w:t>
      </w:r>
      <w:r w:rsidRPr="000D790F">
        <w:rPr>
          <w:bCs/>
        </w:rPr>
        <w:t xml:space="preserve"> </w:t>
      </w:r>
      <w:r w:rsidRPr="000D790F">
        <w:rPr>
          <w:bCs/>
        </w:rPr>
        <w:t>dei linguaggi e dei materiali fossero fenomeni connaturati all’opera d’arte, e come</w:t>
      </w:r>
      <w:r w:rsidRPr="000D790F">
        <w:rPr>
          <w:bCs/>
        </w:rPr>
        <w:t xml:space="preserve"> </w:t>
      </w:r>
      <w:r w:rsidRPr="000D790F">
        <w:rPr>
          <w:bCs/>
        </w:rPr>
        <w:t>anche artisti tradizionali tra i piacentini ne fossero stati contagiati a un certo punto</w:t>
      </w:r>
      <w:r w:rsidRPr="000D790F">
        <w:rPr>
          <w:bCs/>
        </w:rPr>
        <w:t xml:space="preserve"> </w:t>
      </w:r>
      <w:r w:rsidRPr="000D790F">
        <w:rPr>
          <w:bCs/>
        </w:rPr>
        <w:t xml:space="preserve">della loro vita. </w:t>
      </w:r>
      <w:r w:rsidRPr="000D790F">
        <w:rPr>
          <w:bCs/>
        </w:rPr>
        <w:lastRenderedPageBreak/>
        <w:t>Dall’interesse che la mostra suscitò, e dal convegno sugli spazi</w:t>
      </w:r>
      <w:r w:rsidRPr="000D790F">
        <w:rPr>
          <w:bCs/>
        </w:rPr>
        <w:t xml:space="preserve"> </w:t>
      </w:r>
      <w:r w:rsidRPr="000D790F">
        <w:rPr>
          <w:bCs/>
        </w:rPr>
        <w:t>espositivi disponibili in città, organizzato dalla rivista “Galleria” nell’auditorium</w:t>
      </w:r>
      <w:r w:rsidRPr="000D790F">
        <w:rPr>
          <w:bCs/>
        </w:rPr>
        <w:t xml:space="preserve"> </w:t>
      </w:r>
      <w:r w:rsidRPr="000D790F">
        <w:rPr>
          <w:bCs/>
        </w:rPr>
        <w:t>della Fondazione, venne la richiesta dell’assessore Anelli per un progetto di utilizzo</w:t>
      </w:r>
      <w:r w:rsidRPr="000D790F">
        <w:rPr>
          <w:bCs/>
        </w:rPr>
        <w:t xml:space="preserve"> </w:t>
      </w:r>
      <w:r w:rsidRPr="000D790F">
        <w:rPr>
          <w:bCs/>
        </w:rPr>
        <w:t>espositivo e documentale nel complesso dell’ex macello comunale di via Scalabrini</w:t>
      </w:r>
      <w:r w:rsidRPr="000D790F">
        <w:rPr>
          <w:bCs/>
        </w:rPr>
        <w:t xml:space="preserve"> </w:t>
      </w:r>
      <w:r w:rsidRPr="000D790F">
        <w:rPr>
          <w:bCs/>
        </w:rPr>
        <w:t>– oggi Urban Center e sede del Politecnico. Battezzammo il progetto “Tripperia”,</w:t>
      </w:r>
      <w:r w:rsidRPr="000D790F">
        <w:rPr>
          <w:bCs/>
        </w:rPr>
        <w:t xml:space="preserve"> </w:t>
      </w:r>
      <w:r w:rsidRPr="000D790F">
        <w:rPr>
          <w:bCs/>
        </w:rPr>
        <w:t>dal nome dell’edificio in cui poteva essere ospitato. Nel 1998 la maggioranza che</w:t>
      </w:r>
      <w:r w:rsidRPr="000D790F">
        <w:rPr>
          <w:bCs/>
        </w:rPr>
        <w:t xml:space="preserve"> </w:t>
      </w:r>
      <w:r w:rsidRPr="000D790F">
        <w:rPr>
          <w:bCs/>
        </w:rPr>
        <w:t>aveva espresso Vaciago non fu riconfermata alla guida della città e la “Tripperia”</w:t>
      </w:r>
      <w:r w:rsidRPr="000D790F">
        <w:rPr>
          <w:bCs/>
        </w:rPr>
        <w:t xml:space="preserve"> </w:t>
      </w:r>
      <w:r w:rsidRPr="000D790F">
        <w:rPr>
          <w:bCs/>
        </w:rPr>
        <w:t>andò a tener compagnia al progetto di Barilli.</w:t>
      </w:r>
    </w:p>
    <w:p w14:paraId="09D7003E" w14:textId="15AE3B04" w:rsidR="000D790F" w:rsidRPr="000D790F" w:rsidRDefault="000D790F" w:rsidP="000D790F">
      <w:pPr>
        <w:spacing w:after="0" w:line="240" w:lineRule="auto"/>
        <w:jc w:val="both"/>
        <w:rPr>
          <w:bCs/>
        </w:rPr>
      </w:pPr>
      <w:r w:rsidRPr="000D790F">
        <w:rPr>
          <w:bCs/>
        </w:rPr>
        <w:t>Ora si comincia a intravedere, se si guarda bene, quale sia il particolare</w:t>
      </w:r>
      <w:r w:rsidRPr="000D790F">
        <w:rPr>
          <w:bCs/>
        </w:rPr>
        <w:t xml:space="preserve"> </w:t>
      </w:r>
      <w:r w:rsidRPr="000D790F">
        <w:rPr>
          <w:bCs/>
        </w:rPr>
        <w:t>andamento della lunga marcia piacentina: un moto interrotto, o al più un passo</w:t>
      </w:r>
      <w:r w:rsidRPr="000D790F">
        <w:rPr>
          <w:bCs/>
        </w:rPr>
        <w:t xml:space="preserve"> </w:t>
      </w:r>
      <w:r w:rsidRPr="000D790F">
        <w:rPr>
          <w:bCs/>
        </w:rPr>
        <w:t>di colomba, cioè un passo avanti e un lungo stop, un passo avanti e un lungo stop.</w:t>
      </w:r>
      <w:r w:rsidRPr="000D790F">
        <w:rPr>
          <w:bCs/>
        </w:rPr>
        <w:t xml:space="preserve"> </w:t>
      </w:r>
      <w:r w:rsidRPr="000D790F">
        <w:rPr>
          <w:bCs/>
        </w:rPr>
        <w:t>Nel 2003, prima giunta di Roberto Reggi, con assessore Pareti,</w:t>
      </w:r>
      <w:r w:rsidRPr="000D790F">
        <w:rPr>
          <w:bCs/>
        </w:rPr>
        <w:t xml:space="preserve"> </w:t>
      </w:r>
      <w:r w:rsidRPr="000D790F">
        <w:rPr>
          <w:bCs/>
        </w:rPr>
        <w:t>l’amministrazione incontra i dirigenti del Demanio che hanno in carico il</w:t>
      </w:r>
      <w:r w:rsidRPr="000D790F">
        <w:rPr>
          <w:bCs/>
        </w:rPr>
        <w:t xml:space="preserve"> </w:t>
      </w:r>
      <w:r w:rsidRPr="000D790F">
        <w:rPr>
          <w:bCs/>
        </w:rPr>
        <w:t>cosiddetto “capannone Berzolla”, un pregevole edificio novecentesco indicato col</w:t>
      </w:r>
      <w:r w:rsidRPr="000D790F">
        <w:rPr>
          <w:bCs/>
        </w:rPr>
        <w:t xml:space="preserve"> </w:t>
      </w:r>
      <w:r w:rsidRPr="000D790F">
        <w:rPr>
          <w:bCs/>
        </w:rPr>
        <w:t>nome del suo progettista. L’obiettivo era averlo a disposizione per farne un centro</w:t>
      </w:r>
      <w:r w:rsidRPr="000D790F">
        <w:rPr>
          <w:bCs/>
        </w:rPr>
        <w:t xml:space="preserve"> </w:t>
      </w:r>
      <w:r w:rsidRPr="000D790F">
        <w:rPr>
          <w:bCs/>
        </w:rPr>
        <w:t>per l’arte contemporanea. Ma non si andò oltre il primo incontro.</w:t>
      </w:r>
    </w:p>
    <w:p w14:paraId="64849228" w14:textId="5A650AAA" w:rsidR="000D790F" w:rsidRPr="000D790F" w:rsidRDefault="000D790F" w:rsidP="000D790F">
      <w:pPr>
        <w:spacing w:after="0" w:line="240" w:lineRule="auto"/>
        <w:jc w:val="both"/>
        <w:rPr>
          <w:bCs/>
        </w:rPr>
      </w:pPr>
      <w:r w:rsidRPr="000D790F">
        <w:rPr>
          <w:bCs/>
        </w:rPr>
        <w:t>Nello stesso 2003, tuttavia, la Provincia di Piacenza presieduta da Dario</w:t>
      </w:r>
      <w:r w:rsidRPr="000D790F">
        <w:rPr>
          <w:bCs/>
        </w:rPr>
        <w:t xml:space="preserve"> </w:t>
      </w:r>
      <w:r w:rsidRPr="000D790F">
        <w:rPr>
          <w:bCs/>
        </w:rPr>
        <w:t>Squeri accoglieva il progetto del critico Marco Senaldi per una mostra intitolata</w:t>
      </w:r>
      <w:r w:rsidRPr="000D790F">
        <w:rPr>
          <w:bCs/>
        </w:rPr>
        <w:t xml:space="preserve"> </w:t>
      </w:r>
      <w:r w:rsidRPr="000D790F">
        <w:rPr>
          <w:bCs/>
        </w:rPr>
        <w:t>“Cover theory”, sulla ripetizione degli stilemi e delle forme nell’arte e nel</w:t>
      </w:r>
      <w:r w:rsidRPr="000D790F">
        <w:rPr>
          <w:bCs/>
        </w:rPr>
        <w:t xml:space="preserve"> </w:t>
      </w:r>
      <w:r w:rsidRPr="000D790F">
        <w:rPr>
          <w:bCs/>
        </w:rPr>
        <w:t>design, nel cinema o nella moda. Da notare che non fu l’assessore alla Cultura a</w:t>
      </w:r>
      <w:r w:rsidRPr="000D790F">
        <w:rPr>
          <w:bCs/>
        </w:rPr>
        <w:t xml:space="preserve"> </w:t>
      </w:r>
      <w:r w:rsidRPr="000D790F">
        <w:rPr>
          <w:bCs/>
        </w:rPr>
        <w:t>occuparsene, bensì quello alle Pari opportunità che allora era affidato ad Adriana</w:t>
      </w:r>
      <w:r w:rsidRPr="000D790F">
        <w:rPr>
          <w:bCs/>
        </w:rPr>
        <w:t xml:space="preserve"> </w:t>
      </w:r>
      <w:r w:rsidRPr="000D790F">
        <w:rPr>
          <w:bCs/>
        </w:rPr>
        <w:t>Bertoni. Fu mostra di grande interesse e stretta attualità, oltretutto situata in</w:t>
      </w:r>
      <w:r w:rsidRPr="000D790F">
        <w:rPr>
          <w:bCs/>
        </w:rPr>
        <w:t xml:space="preserve"> </w:t>
      </w:r>
      <w:r w:rsidRPr="000D790F">
        <w:rPr>
          <w:bCs/>
        </w:rPr>
        <w:t>un luogo d’eccezione: l’ex centrale Enel dismessa disegnata da Portaluppi (la</w:t>
      </w:r>
      <w:r w:rsidRPr="000D790F">
        <w:rPr>
          <w:bCs/>
        </w:rPr>
        <w:t xml:space="preserve"> </w:t>
      </w:r>
      <w:r w:rsidRPr="000D790F">
        <w:rPr>
          <w:bCs/>
        </w:rPr>
        <w:t>cosiddetta “Damello”). L’anno dopo, la Provincia replicò con una mostra nel</w:t>
      </w:r>
      <w:r w:rsidRPr="000D790F">
        <w:rPr>
          <w:bCs/>
        </w:rPr>
        <w:t xml:space="preserve"> </w:t>
      </w:r>
      <w:r w:rsidRPr="000D790F">
        <w:rPr>
          <w:bCs/>
        </w:rPr>
        <w:t>salone degli Amici dell’Arte, a cura di due giovani galleristi piacentini, Paolo Zani</w:t>
      </w:r>
      <w:r w:rsidRPr="000D790F">
        <w:rPr>
          <w:bCs/>
        </w:rPr>
        <w:t xml:space="preserve"> </w:t>
      </w:r>
      <w:r w:rsidRPr="000D790F">
        <w:rPr>
          <w:bCs/>
        </w:rPr>
        <w:t>e la moglie Claudia Ciaccio, e di Gyonata Bonvicini, oggi dirigente di una galleria</w:t>
      </w:r>
      <w:r w:rsidRPr="000D790F">
        <w:rPr>
          <w:bCs/>
        </w:rPr>
        <w:t xml:space="preserve"> </w:t>
      </w:r>
      <w:r w:rsidRPr="000D790F">
        <w:rPr>
          <w:bCs/>
        </w:rPr>
        <w:t>tedesca ma in quegli anni ai suoi primi passi nella critica d’arte.</w:t>
      </w:r>
    </w:p>
    <w:p w14:paraId="78918334" w14:textId="470C0033" w:rsidR="000D790F" w:rsidRPr="000D790F" w:rsidRDefault="000D790F" w:rsidP="000D790F">
      <w:pPr>
        <w:spacing w:after="0" w:line="240" w:lineRule="auto"/>
        <w:jc w:val="both"/>
        <w:rPr>
          <w:bCs/>
        </w:rPr>
      </w:pPr>
      <w:r w:rsidRPr="000D790F">
        <w:rPr>
          <w:bCs/>
        </w:rPr>
        <w:t>Nel 2004, infine, un terzo appuntamento a cura della Provincia, questa</w:t>
      </w:r>
      <w:r w:rsidRPr="000D790F">
        <w:rPr>
          <w:bCs/>
        </w:rPr>
        <w:t xml:space="preserve"> </w:t>
      </w:r>
      <w:r w:rsidRPr="000D790F">
        <w:rPr>
          <w:bCs/>
        </w:rPr>
        <w:t>volta con artisti piacentini, sul tema dell’immagine femminile. Titolo: “Sybille e la</w:t>
      </w:r>
      <w:r w:rsidRPr="000D790F">
        <w:rPr>
          <w:bCs/>
        </w:rPr>
        <w:t xml:space="preserve"> </w:t>
      </w:r>
      <w:r w:rsidRPr="000D790F">
        <w:rPr>
          <w:bCs/>
        </w:rPr>
        <w:t>città” (curata da Gazzola) in cui la voce di Sergio Zavoli e di suor Maria Teresa del</w:t>
      </w:r>
      <w:r w:rsidRPr="000D790F">
        <w:rPr>
          <w:bCs/>
        </w:rPr>
        <w:t xml:space="preserve"> </w:t>
      </w:r>
      <w:r w:rsidRPr="000D790F">
        <w:rPr>
          <w:bCs/>
        </w:rPr>
        <w:t>Gesù, monaca di clausura, accoglieva i visitatori dalla celebre intervista del 1957.</w:t>
      </w:r>
      <w:r w:rsidRPr="000D790F">
        <w:rPr>
          <w:bCs/>
        </w:rPr>
        <w:t xml:space="preserve"> </w:t>
      </w:r>
      <w:r w:rsidRPr="000D790F">
        <w:rPr>
          <w:bCs/>
        </w:rPr>
        <w:t>Ultima proposta prima di oggi, nel 2006, quando il gallerista Paolo Zani,</w:t>
      </w:r>
      <w:r w:rsidRPr="000D790F">
        <w:rPr>
          <w:bCs/>
        </w:rPr>
        <w:t xml:space="preserve"> </w:t>
      </w:r>
      <w:r w:rsidRPr="000D790F">
        <w:rPr>
          <w:bCs/>
        </w:rPr>
        <w:t>trasferitosi nel frattempo a Milano, organizza una mostra di opere video nella hall</w:t>
      </w:r>
      <w:r w:rsidRPr="000D790F">
        <w:rPr>
          <w:bCs/>
        </w:rPr>
        <w:t xml:space="preserve"> </w:t>
      </w:r>
      <w:r w:rsidRPr="000D790F">
        <w:rPr>
          <w:bCs/>
        </w:rPr>
        <w:t>della stazione ferroviaria di Piacenza, in collaborazione con Ferrovie e con Tempi</w:t>
      </w:r>
      <w:r w:rsidRPr="000D790F">
        <w:rPr>
          <w:bCs/>
        </w:rPr>
        <w:t xml:space="preserve"> </w:t>
      </w:r>
      <w:r w:rsidRPr="000D790F">
        <w:rPr>
          <w:bCs/>
        </w:rPr>
        <w:t>(l’azienda del trasporto pubblico). Mostra selezionatissima e ambiziosa di cui</w:t>
      </w:r>
      <w:r w:rsidRPr="000D790F">
        <w:rPr>
          <w:bCs/>
        </w:rPr>
        <w:t xml:space="preserve"> </w:t>
      </w:r>
      <w:r w:rsidRPr="000D790F">
        <w:rPr>
          <w:bCs/>
        </w:rPr>
        <w:t>la città quasi non si accorse.</w:t>
      </w:r>
    </w:p>
    <w:p w14:paraId="291B9AA0" w14:textId="364B37BC" w:rsidR="000D790F" w:rsidRPr="000D790F" w:rsidRDefault="000D790F" w:rsidP="000D790F">
      <w:pPr>
        <w:spacing w:after="0" w:line="240" w:lineRule="auto"/>
        <w:jc w:val="both"/>
        <w:rPr>
          <w:bCs/>
        </w:rPr>
      </w:pPr>
      <w:r w:rsidRPr="000D790F">
        <w:rPr>
          <w:bCs/>
        </w:rPr>
        <w:t>Infine oggi. Quando la lunga marcia approda al palazzo ex Enel</w:t>
      </w:r>
      <w:r w:rsidRPr="000D790F">
        <w:rPr>
          <w:bCs/>
        </w:rPr>
        <w:t xml:space="preserve"> </w:t>
      </w:r>
      <w:r w:rsidRPr="000D790F">
        <w:rPr>
          <w:bCs/>
        </w:rPr>
        <w:t>di via Santa Franca. È storia recente: nel 2014 il Consiglio di amministrazione</w:t>
      </w:r>
      <w:r w:rsidRPr="000D790F">
        <w:rPr>
          <w:bCs/>
        </w:rPr>
        <w:t xml:space="preserve"> </w:t>
      </w:r>
      <w:r w:rsidRPr="000D790F">
        <w:rPr>
          <w:bCs/>
        </w:rPr>
        <w:t>della Fondazione, appena nominato, decide di prendere in mano la questione</w:t>
      </w:r>
      <w:r w:rsidRPr="000D790F">
        <w:rPr>
          <w:bCs/>
        </w:rPr>
        <w:t xml:space="preserve"> </w:t>
      </w:r>
      <w:r w:rsidRPr="000D790F">
        <w:rPr>
          <w:bCs/>
        </w:rPr>
        <w:t>del palazzo ex Enel, acquisito nel 2002, sul quale preesiste un progetto di</w:t>
      </w:r>
      <w:r w:rsidRPr="000D790F">
        <w:rPr>
          <w:bCs/>
        </w:rPr>
        <w:t xml:space="preserve"> </w:t>
      </w:r>
      <w:r w:rsidRPr="000D790F">
        <w:rPr>
          <w:bCs/>
        </w:rPr>
        <w:t>ristrutturazione che prevedeva l’affidamento alla galleria Ricci Oddi in previsione</w:t>
      </w:r>
      <w:r w:rsidRPr="000D790F">
        <w:rPr>
          <w:bCs/>
        </w:rPr>
        <w:t xml:space="preserve"> </w:t>
      </w:r>
      <w:r w:rsidRPr="000D790F">
        <w:rPr>
          <w:bCs/>
        </w:rPr>
        <w:t>di un suo ampliamento. Un progetto che non aveva trovato seguito e che avrebbe</w:t>
      </w:r>
      <w:r w:rsidRPr="000D790F">
        <w:rPr>
          <w:bCs/>
        </w:rPr>
        <w:t xml:space="preserve"> </w:t>
      </w:r>
      <w:r w:rsidRPr="000D790F">
        <w:rPr>
          <w:bCs/>
        </w:rPr>
        <w:t>richiesto uno sforzo economico eccessivo per il Comune e per la galleria.</w:t>
      </w:r>
      <w:r w:rsidRPr="000D790F">
        <w:rPr>
          <w:bCs/>
        </w:rPr>
        <w:t xml:space="preserve"> </w:t>
      </w:r>
      <w:r w:rsidRPr="000D790F">
        <w:rPr>
          <w:bCs/>
        </w:rPr>
        <w:t>Nel 2015, il CdA della Fondazione decide quindi di tenersi l’immobile e</w:t>
      </w:r>
      <w:r w:rsidRPr="000D790F">
        <w:rPr>
          <w:bCs/>
        </w:rPr>
        <w:t xml:space="preserve"> </w:t>
      </w:r>
      <w:r w:rsidRPr="000D790F">
        <w:rPr>
          <w:bCs/>
        </w:rPr>
        <w:t>di destinarlo a centro per le arti contemporanee. Cinque anni dopo, oggi, nasce</w:t>
      </w:r>
      <w:r w:rsidRPr="000D790F">
        <w:rPr>
          <w:bCs/>
        </w:rPr>
        <w:t xml:space="preserve"> </w:t>
      </w:r>
      <w:r w:rsidRPr="000D790F">
        <w:rPr>
          <w:bCs/>
        </w:rPr>
        <w:t>il centro xnl, inaugurato l’8 febbraio 2020 con la mostra “La rivoluzione siamo</w:t>
      </w:r>
      <w:r w:rsidRPr="000D790F">
        <w:rPr>
          <w:bCs/>
        </w:rPr>
        <w:t xml:space="preserve"> </w:t>
      </w:r>
      <w:r w:rsidRPr="000D790F">
        <w:rPr>
          <w:bCs/>
        </w:rPr>
        <w:t>noi”, a cura di Alberto Fiz. L’esposizione è incentrata sul collezionismo italiano</w:t>
      </w:r>
      <w:r w:rsidRPr="000D790F">
        <w:rPr>
          <w:bCs/>
        </w:rPr>
        <w:t xml:space="preserve"> </w:t>
      </w:r>
      <w:r w:rsidRPr="000D790F">
        <w:rPr>
          <w:bCs/>
        </w:rPr>
        <w:t>di oggi, tema che vuole rendere omaggio a Giuseppe Ricci Oddi, il collezionista</w:t>
      </w:r>
      <w:r w:rsidRPr="000D790F">
        <w:rPr>
          <w:bCs/>
        </w:rPr>
        <w:t xml:space="preserve"> </w:t>
      </w:r>
      <w:r w:rsidRPr="000D790F">
        <w:rPr>
          <w:bCs/>
        </w:rPr>
        <w:t>che alla città di Piacenza ha donato le sue opere e la sede in cui esporle (1931).</w:t>
      </w:r>
    </w:p>
    <w:p w14:paraId="7CD07179" w14:textId="4D4F42DF" w:rsidR="000D790F" w:rsidRPr="000D790F" w:rsidRDefault="000D790F" w:rsidP="000D790F">
      <w:pPr>
        <w:spacing w:after="0" w:line="240" w:lineRule="auto"/>
        <w:jc w:val="both"/>
        <w:rPr>
          <w:bCs/>
        </w:rPr>
      </w:pPr>
      <w:r w:rsidRPr="000D790F">
        <w:rPr>
          <w:bCs/>
        </w:rPr>
        <w:t>Infine “PaladinoPiacenza”, l’operazione con cui il maestro campano</w:t>
      </w:r>
      <w:r w:rsidRPr="000D790F">
        <w:rPr>
          <w:bCs/>
        </w:rPr>
        <w:t xml:space="preserve"> </w:t>
      </w:r>
      <w:r w:rsidRPr="000D790F">
        <w:rPr>
          <w:bCs/>
        </w:rPr>
        <w:t>interpreta la piazza principale della città con una scultura densamente simbolica</w:t>
      </w:r>
      <w:r w:rsidRPr="000D790F">
        <w:rPr>
          <w:bCs/>
        </w:rPr>
        <w:t xml:space="preserve"> </w:t>
      </w:r>
      <w:r w:rsidRPr="000D790F">
        <w:rPr>
          <w:bCs/>
        </w:rPr>
        <w:t>che modifica l’ordine di lettura del luogo e riattiva, nel contempo, la memoria di</w:t>
      </w:r>
      <w:r w:rsidRPr="000D790F">
        <w:rPr>
          <w:bCs/>
        </w:rPr>
        <w:t xml:space="preserve"> </w:t>
      </w:r>
      <w:r w:rsidRPr="000D790F">
        <w:rPr>
          <w:bCs/>
        </w:rPr>
        <w:t>una ritualità sociale che nel nome della festa incrociava il potere politico e religioso</w:t>
      </w:r>
      <w:r w:rsidRPr="000D790F">
        <w:rPr>
          <w:bCs/>
        </w:rPr>
        <w:t xml:space="preserve"> </w:t>
      </w:r>
      <w:r w:rsidRPr="000D790F">
        <w:rPr>
          <w:bCs/>
        </w:rPr>
        <w:t>alla tradizione popolare.</w:t>
      </w:r>
    </w:p>
    <w:p w14:paraId="062612DE" w14:textId="01B0A543" w:rsidR="000D790F" w:rsidRPr="000D790F" w:rsidRDefault="000D790F" w:rsidP="000D790F">
      <w:pPr>
        <w:spacing w:after="0" w:line="240" w:lineRule="auto"/>
        <w:jc w:val="both"/>
        <w:rPr>
          <w:bCs/>
        </w:rPr>
      </w:pPr>
      <w:r w:rsidRPr="000D790F">
        <w:rPr>
          <w:bCs/>
        </w:rPr>
        <w:t xml:space="preserve">Ma è evidente che debba essere il centro </w:t>
      </w:r>
      <w:r w:rsidRPr="000D790F">
        <w:rPr>
          <w:bCs/>
        </w:rPr>
        <w:t>XNL</w:t>
      </w:r>
      <w:r w:rsidRPr="000D790F">
        <w:rPr>
          <w:bCs/>
        </w:rPr>
        <w:t>, non fosse altro che</w:t>
      </w:r>
      <w:r w:rsidRPr="000D790F">
        <w:rPr>
          <w:bCs/>
        </w:rPr>
        <w:t xml:space="preserve"> </w:t>
      </w:r>
      <w:r w:rsidRPr="000D790F">
        <w:rPr>
          <w:bCs/>
        </w:rPr>
        <w:t>per le dimensioni e per le risorse che ha richiesto, a suscitare le maggiori</w:t>
      </w:r>
      <w:r w:rsidRPr="000D790F">
        <w:rPr>
          <w:bCs/>
        </w:rPr>
        <w:t xml:space="preserve"> </w:t>
      </w:r>
      <w:r w:rsidRPr="000D790F">
        <w:rPr>
          <w:bCs/>
        </w:rPr>
        <w:t>attese. La struttura è inserita in un quadrilatero connotato dalla presenza dei</w:t>
      </w:r>
      <w:r w:rsidRPr="000D790F">
        <w:rPr>
          <w:bCs/>
        </w:rPr>
        <w:t xml:space="preserve"> </w:t>
      </w:r>
      <w:r w:rsidRPr="000D790F">
        <w:rPr>
          <w:bCs/>
        </w:rPr>
        <w:t>principali produttori di cultura della città: la galleria Ricci Oddi, il teatro dei</w:t>
      </w:r>
      <w:r w:rsidRPr="000D790F">
        <w:rPr>
          <w:bCs/>
        </w:rPr>
        <w:t xml:space="preserve"> </w:t>
      </w:r>
      <w:r w:rsidRPr="000D790F">
        <w:rPr>
          <w:bCs/>
        </w:rPr>
        <w:t xml:space="preserve">Filodrammatici, il teatro Municipale, il conservatorio “Nicolini”. Tra essi, </w:t>
      </w:r>
      <w:r w:rsidRPr="000D790F">
        <w:rPr>
          <w:bCs/>
        </w:rPr>
        <w:t xml:space="preserve">XNL </w:t>
      </w:r>
      <w:r w:rsidRPr="000D790F">
        <w:rPr>
          <w:bCs/>
        </w:rPr>
        <w:t>è</w:t>
      </w:r>
      <w:r w:rsidRPr="000D790F">
        <w:rPr>
          <w:bCs/>
        </w:rPr>
        <w:t xml:space="preserve"> </w:t>
      </w:r>
      <w:r w:rsidRPr="000D790F">
        <w:rPr>
          <w:bCs/>
        </w:rPr>
        <w:t>la voce che mancava. Può rappresentare la proverbiale “volta buona”, quella che</w:t>
      </w:r>
      <w:r w:rsidRPr="000D790F">
        <w:rPr>
          <w:bCs/>
        </w:rPr>
        <w:t xml:space="preserve"> </w:t>
      </w:r>
      <w:r w:rsidRPr="000D790F">
        <w:rPr>
          <w:bCs/>
        </w:rPr>
        <w:t>impedirà di tornare indietro? Il destino che gli è stato assegnato è di essere luogo di</w:t>
      </w:r>
      <w:r w:rsidRPr="000D790F">
        <w:rPr>
          <w:bCs/>
        </w:rPr>
        <w:t xml:space="preserve"> </w:t>
      </w:r>
      <w:r w:rsidRPr="000D790F">
        <w:rPr>
          <w:bCs/>
        </w:rPr>
        <w:t>documentazione delle arti contemporanee, non un semplice contenitore di mostre</w:t>
      </w:r>
      <w:r w:rsidRPr="000D790F">
        <w:rPr>
          <w:bCs/>
        </w:rPr>
        <w:t xml:space="preserve"> </w:t>
      </w:r>
      <w:r w:rsidRPr="000D790F">
        <w:rPr>
          <w:bCs/>
        </w:rPr>
        <w:t>e nemmeno un luogo per tutte le occasioni. Documentare, mostrare, raccontare</w:t>
      </w:r>
      <w:r w:rsidRPr="000D790F">
        <w:rPr>
          <w:bCs/>
        </w:rPr>
        <w:t xml:space="preserve"> </w:t>
      </w:r>
      <w:r w:rsidRPr="000D790F">
        <w:rPr>
          <w:bCs/>
        </w:rPr>
        <w:t>significa prima di tutto cercare, cercare e proporre esperienze capaci di mettere</w:t>
      </w:r>
      <w:r w:rsidRPr="000D790F">
        <w:rPr>
          <w:bCs/>
        </w:rPr>
        <w:t xml:space="preserve"> </w:t>
      </w:r>
      <w:r w:rsidRPr="000D790F">
        <w:rPr>
          <w:bCs/>
        </w:rPr>
        <w:t>in discussione le nostre conoscenze, cioè di suscitare stupore e domande. Non</w:t>
      </w:r>
      <w:r w:rsidRPr="000D790F">
        <w:rPr>
          <w:bCs/>
        </w:rPr>
        <w:t xml:space="preserve"> </w:t>
      </w:r>
      <w:r w:rsidRPr="000D790F">
        <w:rPr>
          <w:bCs/>
        </w:rPr>
        <w:t>risposte, ma domande.</w:t>
      </w:r>
    </w:p>
    <w:p w14:paraId="3F3C07C5" w14:textId="649D9D4B" w:rsidR="000D790F" w:rsidRPr="000D790F" w:rsidRDefault="000D790F" w:rsidP="000D790F">
      <w:pPr>
        <w:spacing w:after="0" w:line="240" w:lineRule="auto"/>
        <w:jc w:val="both"/>
        <w:rPr>
          <w:bCs/>
        </w:rPr>
      </w:pPr>
      <w:r w:rsidRPr="000D790F">
        <w:rPr>
          <w:bCs/>
        </w:rPr>
        <w:t>Tanto Platone quanto Aristotele hanno posto la meraviglia a principio</w:t>
      </w:r>
      <w:r w:rsidRPr="000D790F">
        <w:rPr>
          <w:bCs/>
        </w:rPr>
        <w:t xml:space="preserve"> </w:t>
      </w:r>
      <w:r w:rsidRPr="000D790F">
        <w:rPr>
          <w:bCs/>
        </w:rPr>
        <w:t>di ogni filosofia. Questo vale anche per l’arte e in particolare per l’arte del tempo</w:t>
      </w:r>
      <w:r w:rsidRPr="000D790F">
        <w:rPr>
          <w:bCs/>
        </w:rPr>
        <w:t xml:space="preserve"> </w:t>
      </w:r>
      <w:r w:rsidRPr="000D790F">
        <w:rPr>
          <w:bCs/>
        </w:rPr>
        <w:t xml:space="preserve">che ci è dato vivere, poiché così </w:t>
      </w:r>
      <w:r w:rsidRPr="000D790F">
        <w:rPr>
          <w:bCs/>
          <w:i/>
          <w:iCs/>
        </w:rPr>
        <w:t>eventuale</w:t>
      </w:r>
      <w:r w:rsidRPr="000D790F">
        <w:rPr>
          <w:bCs/>
        </w:rPr>
        <w:t>, così improvvisa.</w:t>
      </w:r>
    </w:p>
    <w:p w14:paraId="1B4DE06D" w14:textId="15A77225" w:rsidR="000D790F" w:rsidRPr="000D790F" w:rsidRDefault="000D790F" w:rsidP="000D790F">
      <w:pPr>
        <w:spacing w:after="0" w:line="240" w:lineRule="auto"/>
        <w:jc w:val="both"/>
        <w:rPr>
          <w:bCs/>
        </w:rPr>
      </w:pPr>
    </w:p>
    <w:p w14:paraId="526D087B" w14:textId="4D2395C6" w:rsidR="00663088" w:rsidRPr="000D790F" w:rsidRDefault="00663088" w:rsidP="001F41D0">
      <w:pPr>
        <w:spacing w:after="0" w:line="240" w:lineRule="auto"/>
        <w:jc w:val="both"/>
        <w:rPr>
          <w:bCs/>
        </w:rPr>
      </w:pPr>
      <w:r w:rsidRPr="000D790F">
        <w:rPr>
          <w:bCs/>
        </w:rPr>
        <w:t>Piacenza, 12 ottobre 2020</w:t>
      </w:r>
    </w:p>
    <w:p w14:paraId="6935AFAF" w14:textId="075BAD95" w:rsidR="00331C02" w:rsidRDefault="00331C02" w:rsidP="001F41D0">
      <w:pPr>
        <w:spacing w:after="0" w:line="240" w:lineRule="auto"/>
        <w:jc w:val="both"/>
        <w:rPr>
          <w:bCs/>
        </w:rPr>
      </w:pPr>
    </w:p>
    <w:p w14:paraId="631ED570" w14:textId="21BDE2F3" w:rsidR="00331C02" w:rsidRPr="00331C02" w:rsidRDefault="00331C02" w:rsidP="001F41D0">
      <w:pPr>
        <w:spacing w:after="0" w:line="240" w:lineRule="auto"/>
        <w:jc w:val="both"/>
        <w:rPr>
          <w:b/>
        </w:rPr>
      </w:pPr>
      <w:r w:rsidRPr="00331C02">
        <w:rPr>
          <w:b/>
        </w:rPr>
        <w:t>* Dal catalogo Skira</w:t>
      </w:r>
    </w:p>
    <w:sectPr w:rsidR="00331C02" w:rsidRPr="00331C02" w:rsidSect="00F90CC5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41"/>
    <w:rsid w:val="000D790F"/>
    <w:rsid w:val="00122BBD"/>
    <w:rsid w:val="001562AD"/>
    <w:rsid w:val="001572E7"/>
    <w:rsid w:val="001729A1"/>
    <w:rsid w:val="001863FF"/>
    <w:rsid w:val="001F41D0"/>
    <w:rsid w:val="002A2158"/>
    <w:rsid w:val="00331C02"/>
    <w:rsid w:val="003A6EA1"/>
    <w:rsid w:val="003F00AE"/>
    <w:rsid w:val="004101AC"/>
    <w:rsid w:val="00422053"/>
    <w:rsid w:val="00561441"/>
    <w:rsid w:val="005A04C4"/>
    <w:rsid w:val="00663088"/>
    <w:rsid w:val="006D6541"/>
    <w:rsid w:val="007203D2"/>
    <w:rsid w:val="00720B32"/>
    <w:rsid w:val="00840703"/>
    <w:rsid w:val="008534E4"/>
    <w:rsid w:val="009D142C"/>
    <w:rsid w:val="009F10B5"/>
    <w:rsid w:val="00A4209F"/>
    <w:rsid w:val="00AC25CD"/>
    <w:rsid w:val="00B04DDC"/>
    <w:rsid w:val="00B37DA5"/>
    <w:rsid w:val="00B856EC"/>
    <w:rsid w:val="00BE5F4D"/>
    <w:rsid w:val="00C26E8E"/>
    <w:rsid w:val="00C30F9F"/>
    <w:rsid w:val="00D76765"/>
    <w:rsid w:val="00E87C4A"/>
    <w:rsid w:val="00ED218B"/>
    <w:rsid w:val="00EF4419"/>
    <w:rsid w:val="00F131BD"/>
    <w:rsid w:val="00F50617"/>
    <w:rsid w:val="00F90CC5"/>
    <w:rsid w:val="00FA3F55"/>
    <w:rsid w:val="00FD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E01FD"/>
  <w15:chartTrackingRefBased/>
  <w15:docId w15:val="{40459127-6CF7-4F7C-A712-4B70956C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7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72E7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C30F9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30F9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1562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62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62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62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62AD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9F1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89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3</cp:revision>
  <cp:lastPrinted>2020-08-27T08:48:00Z</cp:lastPrinted>
  <dcterms:created xsi:type="dcterms:W3CDTF">2020-10-07T15:01:00Z</dcterms:created>
  <dcterms:modified xsi:type="dcterms:W3CDTF">2020-10-07T15:05:00Z</dcterms:modified>
</cp:coreProperties>
</file>