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left="-567" w:right="-574" w:firstLine="0"/>
        <w:jc w:val="right"/>
        <w:rPr>
          <w:rFonts w:ascii="Neue Haas Unica Pro" w:cs="Neue Haas Unica Pro" w:eastAsia="Neue Haas Unica Pro" w:hAnsi="Neue Haas Unica Pro"/>
          <w:b w:val="1"/>
          <w:color w:val="000000"/>
          <w:sz w:val="24"/>
          <w:szCs w:val="24"/>
        </w:rPr>
      </w:pPr>
      <w:r w:rsidDel="00000000" w:rsidR="00000000" w:rsidRPr="00000000">
        <w:rPr>
          <w:rFonts w:ascii="Neue Haas Unica Pro" w:cs="Neue Haas Unica Pro" w:eastAsia="Neue Haas Unica Pro" w:hAnsi="Neue Haas Unica Pro"/>
          <w:b w:val="1"/>
          <w:color w:val="000000"/>
          <w:sz w:val="24"/>
          <w:szCs w:val="24"/>
        </w:rPr>
        <w:drawing>
          <wp:inline distB="0" distT="0" distL="0" distR="0">
            <wp:extent cx="2596978" cy="647029"/>
            <wp:effectExtent b="0" l="0" r="0" t="0"/>
            <wp:docPr id="10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96978" cy="64702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left="-567" w:right="-574" w:firstLine="0"/>
        <w:jc w:val="left"/>
        <w:rPr>
          <w:rFonts w:ascii="Neue Haas Unica Pro" w:cs="Neue Haas Unica Pro" w:eastAsia="Neue Haas Unica Pro" w:hAnsi="Neue Haas Unica Pro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left="-567" w:right="-574" w:firstLine="0"/>
        <w:jc w:val="left"/>
        <w:rPr>
          <w:rFonts w:ascii="Neue Haas Unica Pro" w:cs="Neue Haas Unica Pro" w:eastAsia="Neue Haas Unica Pro" w:hAnsi="Neue Haas Unica Pro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left="-567" w:right="-574" w:firstLine="0"/>
        <w:jc w:val="left"/>
        <w:rPr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left="-567" w:right="-574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LA VITTORIA ALATA SECONDO TASSINARI/VETTA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left="-567" w:right="-574" w:firstLine="0"/>
        <w:jc w:val="center"/>
        <w:rPr>
          <w:rFonts w:ascii="Neue Haas Unica Pro" w:cs="Neue Haas Unica Pro" w:eastAsia="Neue Haas Unica Pro" w:hAnsi="Neue Haas Unica Pro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ind w:left="-567" w:right="-574" w:firstLine="0"/>
        <w:jc w:val="center"/>
        <w:rPr>
          <w:rFonts w:ascii="Neue Haas Unica Pro" w:cs="Neue Haas Unica Pro" w:eastAsia="Neue Haas Unica Pro" w:hAnsi="Neue Haas Unica Pro"/>
          <w:b w:val="1"/>
          <w:color w:val="000000"/>
          <w:sz w:val="26"/>
          <w:szCs w:val="26"/>
        </w:rPr>
      </w:pPr>
      <w:r w:rsidDel="00000000" w:rsidR="00000000" w:rsidRPr="00000000">
        <w:rPr>
          <w:rFonts w:ascii="Neue Haas Unica Pro" w:cs="Neue Haas Unica Pro" w:eastAsia="Neue Haas Unica Pro" w:hAnsi="Neue Haas Unica Pro"/>
          <w:b w:val="1"/>
          <w:color w:val="000000"/>
          <w:sz w:val="26"/>
          <w:szCs w:val="26"/>
          <w:rtl w:val="0"/>
        </w:rPr>
        <w:t xml:space="preserve">Il progetto di identità visiva e comunicazione a cura dello studio</w:t>
      </w:r>
    </w:p>
    <w:p w:rsidR="00000000" w:rsidDel="00000000" w:rsidP="00000000" w:rsidRDefault="00000000" w:rsidRPr="00000000" w14:paraId="00000008">
      <w:pPr>
        <w:spacing w:line="240" w:lineRule="auto"/>
        <w:ind w:left="-567" w:right="-574" w:firstLine="0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Neue Haas Unica Pro" w:cs="Neue Haas Unica Pro" w:eastAsia="Neue Haas Unica Pro" w:hAnsi="Neue Haas Unica Pro"/>
          <w:b w:val="1"/>
          <w:color w:val="000000"/>
          <w:sz w:val="26"/>
          <w:szCs w:val="26"/>
          <w:rtl w:val="0"/>
        </w:rPr>
        <w:t xml:space="preserve"> diretto da Paolo Tassinari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ind w:left="-567" w:right="-57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ind w:left="-567" w:right="-574" w:firstLine="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Il restauro e la ricollocazione della Vittoria Alata: un grande programma culturale promosso dal Comune di Brescia e dalla Fondazione Brescia Musei, dedicato alla città e destinato a marcare la comunicazione della città lungo l’arco di un biennio.</w:t>
      </w:r>
    </w:p>
    <w:p w:rsidR="00000000" w:rsidDel="00000000" w:rsidP="00000000" w:rsidRDefault="00000000" w:rsidRPr="00000000" w14:paraId="0000000B">
      <w:pPr>
        <w:spacing w:line="240" w:lineRule="auto"/>
        <w:ind w:left="-567" w:right="-574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ind w:left="-567" w:right="-574" w:firstLine="0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“Non ho visto nulla di più bello”: il giudizio che Leopoldo Cicognara esprime nel 1826 di fronte alla statua romana appena ritrovata è il punto di partenza, e l’essenza stessa, del lavoro di 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Tassinari/Vetta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per l’identità visiva e la comunicazione dell’intero progetto.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ind w:left="-567" w:right="-574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ind w:left="-567" w:right="-574" w:firstLine="0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Una scultura, la Vittoria Alata, la cui forza iconica si impone attraverso due secoli, dalle incisioni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ind w:left="-567" w:right="-574" w:firstLine="0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ottocentesche sino al modello digitale realizzato per il restauro, con una forza tale da elevarla quasi a carattere autonomo: la 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rappresentazione della pura bellezza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ind w:left="-567" w:right="-574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ind w:left="-567" w:right="-574" w:firstLine="0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L’impossibilità di ottenere immagini fotografiche della statua nella sua condizione finale a lavori di restauro ancora in corso ha offerto lo spunto per l’elaborazione di un’iconografia che, muovendo dalla sofisticata rappresentazione scientifica 3D, arrivasse a sviluppare un linguaggio visuale contemporaneo e aperto, capace di svilupparsi nel tempo, di adattarsi e di radicarsi.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ind w:left="-567" w:right="-574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ind w:left="-567" w:right="-574" w:firstLine="0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Un linguaggio di comunicazione che necessariamente si esprime anche attraverso una scrittura: una scrittura meccanica –ovvero tipografica–, riconoscibile, capace di esprimere le caratteristiche e trasmettere i valori del progetto attraverso il recupero dei caratteri tipografici impiegati all’inizio del diciannovesimo secolo.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ind w:left="-567" w:right="-574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ind w:left="-567" w:right="-574" w:firstLine="0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 “Ed ecco che, come in un’orchestra, i diversi strumenti suonano insieme, in una composizione sempre nuova ma sempre riconoscibile: 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tipografia e iconografia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collaborano alla creazione di un 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linguaggio aperto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anche all’improvvisazione, come in una 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partitura contemporanea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”, racconta 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Paolo Tassinari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ind w:left="-567" w:right="-574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ind w:left="-567" w:right="-574" w:firstLine="0"/>
        <w:rPr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Un linguaggio visuale, infine, destinato ad accompagnarci attraverso due anni di celebrazioni ed eventi e a distillarsi in piccoli segnali permanenti negli interventi di valorizzazione dei complessi monumentali.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67" w:right="0" w:firstLine="0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Tassinari/Vetta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67" w:right="0" w:firstLine="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Tassinari/Vetta, fondato da Paolo Tassinari e Pierpaolo Vetta nel 1981, è fra i più consolidati studi grafici in Italia e all’estero. Specializzato in progetti di identità visiva, editoriali e di comunicazione per istituzioni e per la cultura, privilegia nella pratica gli aspetti di ricerca, sfruttando carattere e unicità di ogni singolo progetto.</w:t>
      </w:r>
    </w:p>
    <w:p w:rsidR="00000000" w:rsidDel="00000000" w:rsidP="00000000" w:rsidRDefault="00000000" w:rsidRPr="00000000" w14:paraId="0000001C">
      <w:pPr>
        <w:ind w:left="-567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67" w:right="0" w:firstLine="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Paolo Tassinari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67" w:right="0" w:firstLine="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Designer, art director della rivista «Casabella» da più di venti anni, insegna ed è ospite di conferenze italiane ed internazionali. È stato Assessore alla Cultura della città di Trieste. 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67" w:right="0" w:firstLine="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Membro dell’Alliance Graphique Internationale, nel 2011 è stato premiato con il Compasso d’Oro. </w:t>
      </w:r>
    </w:p>
    <w:p w:rsidR="00000000" w:rsidDel="00000000" w:rsidP="00000000" w:rsidRDefault="00000000" w:rsidRPr="00000000" w14:paraId="00000020">
      <w:pPr>
        <w:spacing w:after="240" w:lineRule="auto"/>
        <w:ind w:left="-567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6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Tassinari/Vetta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6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info@tassinarivetta.it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6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www.tassinarivetta.it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6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 @tassinarivetta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6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 @paolotassinari</w:t>
      </w:r>
    </w:p>
    <w:p w:rsidR="00000000" w:rsidDel="00000000" w:rsidP="00000000" w:rsidRDefault="00000000" w:rsidRPr="00000000" w14:paraId="00000026">
      <w:pPr>
        <w:spacing w:after="240" w:lineRule="auto"/>
        <w:ind w:left="-567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6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Carlotta Tonon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6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+39 3396219432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6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8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00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contact@carlottatonon.com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6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9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00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carlottatononrelations.com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120" w:lineRule="auto"/>
        <w:ind w:left="-567" w:right="-574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10" w:type="first"/>
      <w:footerReference r:id="rId11" w:type="default"/>
      <w:footerReference r:id="rId12" w:type="first"/>
      <w:pgSz w:h="16840" w:w="11900" w:orient="portrait"/>
      <w:pgMar w:bottom="2268" w:top="1701" w:left="1701" w:right="1701" w:header="1704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  <w:font w:name="Neue Haas Unica Pro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</w:tabs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-1080130</wp:posOffset>
          </wp:positionH>
          <wp:positionV relativeFrom="paragraph">
            <wp:posOffset>0</wp:posOffset>
          </wp:positionV>
          <wp:extent cx="7560000" cy="1069090"/>
          <wp:effectExtent b="0" l="0" r="0" t="0"/>
          <wp:wrapTopAndBottom distB="0" distT="0"/>
          <wp:docPr id="8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60000" cy="106909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</w:tabs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-1080130</wp:posOffset>
          </wp:positionH>
          <wp:positionV relativeFrom="paragraph">
            <wp:posOffset>0</wp:posOffset>
          </wp:positionV>
          <wp:extent cx="7560000" cy="1069090"/>
          <wp:effectExtent b="0" l="0" r="0" t="0"/>
          <wp:wrapTopAndBottom distB="0" distT="0"/>
          <wp:docPr id="11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60000" cy="106909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</w:tabs>
      <w:rPr>
        <w:color w:val="000000"/>
      </w:rPr>
    </w:pPr>
    <w:r w:rsidDel="00000000" w:rsidR="00000000" w:rsidRPr="00000000">
      <w:rPr>
        <w:color w:val="000000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000" cy="2160000"/>
          <wp:effectExtent b="0" l="0" r="0" t="0"/>
          <wp:wrapTopAndBottom distB="0" distT="0"/>
          <wp:docPr id="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60000" cy="2160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3"/>
        <w:szCs w:val="23"/>
        <w:lang w:val="it-IT"/>
      </w:rPr>
    </w:rPrDefault>
    <w:pPrDefault>
      <w:pPr>
        <w:spacing w:line="28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b w:val="1"/>
    </w:rPr>
  </w:style>
  <w:style w:type="paragraph" w:styleId="Heading2">
    <w:name w:val="heading 2"/>
    <w:basedOn w:val="Normal"/>
    <w:next w:val="Normal"/>
    <w:pPr/>
    <w:rPr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472c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line="360" w:lineRule="auto"/>
    </w:pPr>
    <w:rPr>
      <w:sz w:val="32"/>
      <w:szCs w:val="3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outlineLvl w:val="0"/>
    </w:pPr>
    <w:rPr>
      <w:b w:val="1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outlineLvl w:val="1"/>
    </w:pPr>
    <w:rPr>
      <w:u w:val="single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before="200"/>
      <w:outlineLvl w:val="2"/>
    </w:pPr>
    <w:rPr>
      <w:rFonts w:ascii="Calibri" w:cs="Calibri" w:eastAsia="Calibri" w:hAnsi="Calibri"/>
      <w:b w:val="1"/>
      <w:color w:val="4472c4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spacing w:line="360" w:lineRule="auto"/>
    </w:pPr>
    <w:rPr>
      <w:sz w:val="32"/>
      <w:szCs w:val="3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ottotitolo">
    <w:name w:val="Subtitle"/>
    <w:basedOn w:val="Normale"/>
    <w:next w:val="Normale"/>
    <w:uiPriority w:val="11"/>
    <w:qFormat w:val="1"/>
  </w:style>
  <w:style w:type="character" w:styleId="Collegamentoipertestuale">
    <w:name w:val="Hyperlink"/>
    <w:basedOn w:val="Carpredefinitoparagrafo"/>
    <w:uiPriority w:val="99"/>
    <w:semiHidden w:val="1"/>
    <w:unhideWhenUsed w:val="1"/>
    <w:rsid w:val="004E2450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902557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902557"/>
    <w:rPr>
      <w:rFonts w:ascii="Segoe UI" w:cs="Segoe UI" w:hAnsi="Segoe UI"/>
      <w:sz w:val="18"/>
      <w:szCs w:val="18"/>
    </w:rPr>
  </w:style>
  <w:style w:type="paragraph" w:styleId="NormaleWeb">
    <w:name w:val="Normal (Web)"/>
    <w:basedOn w:val="Normale"/>
    <w:uiPriority w:val="99"/>
    <w:semiHidden w:val="1"/>
    <w:unhideWhenUsed w:val="1"/>
    <w:rsid w:val="00423FEF"/>
    <w:pPr>
      <w:spacing w:after="100" w:afterAutospacing="1" w:before="100" w:beforeAutospacing="1" w:line="240" w:lineRule="auto"/>
      <w:jc w:val="left"/>
    </w:pPr>
    <w:rPr>
      <w:rFonts w:ascii="Times New Roman" w:cs="Times New Roman" w:eastAsia="Times New Roman" w:hAnsi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 w:val="1"/>
    <w:rsid w:val="00423FEF"/>
    <w:pPr>
      <w:tabs>
        <w:tab w:val="center" w:pos="4819"/>
        <w:tab w:val="right" w:pos="9638"/>
      </w:tabs>
      <w:spacing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423FEF"/>
  </w:style>
  <w:style w:type="paragraph" w:styleId="Pidipagina">
    <w:name w:val="footer"/>
    <w:basedOn w:val="Normale"/>
    <w:link w:val="PidipaginaCarattere"/>
    <w:uiPriority w:val="99"/>
    <w:unhideWhenUsed w:val="1"/>
    <w:rsid w:val="00423FEF"/>
    <w:pPr>
      <w:tabs>
        <w:tab w:val="center" w:pos="4819"/>
        <w:tab w:val="right" w:pos="9638"/>
      </w:tabs>
      <w:spacing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423FEF"/>
  </w:style>
  <w:style w:type="paragraph" w:styleId="Subtitle">
    <w:name w:val="Subtitle"/>
    <w:basedOn w:val="Normal"/>
    <w:next w:val="Normal"/>
    <w:pPr/>
    <w:rPr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12" Type="http://schemas.openxmlformats.org/officeDocument/2006/relationships/footer" Target="footer2.xml"/><Relationship Id="rId9" Type="http://schemas.openxmlformats.org/officeDocument/2006/relationships/hyperlink" Target="http://carlottatononrelations.com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hyperlink" Target="mailto:carlotta@carlottatonon.com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O3ErFJZjFMtErCidxN1OL4yEQg==">AMUW2mWcFdf0hvHRU8QwPrKGD7wi/fG1cS/pY1zdWeKZZAgWQdCWKJCBjFKqWgjMpT/GX1U4amKDC8aI1u8yA0CW3phphK4zTfuFbb+n7DMJnlzwI1Px75Y=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2020-12-16T16:46:00Z</dcterms:created>
  <dc:creator>Carlo</dc:creator>
</cp:coreProperties>
</file>