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18C17" w14:textId="77777777" w:rsidR="007927C5" w:rsidRDefault="00163E78" w:rsidP="00163E78">
      <w:pPr>
        <w:spacing w:after="150" w:line="360" w:lineRule="auto"/>
        <w:jc w:val="left"/>
        <w:rPr>
          <w:sz w:val="22"/>
          <w:szCs w:val="22"/>
        </w:rPr>
      </w:pPr>
      <w:r>
        <w:rPr>
          <w:b/>
          <w:color w:val="333333"/>
          <w:sz w:val="36"/>
          <w:szCs w:val="36"/>
        </w:rPr>
        <w:t>LA STATUA</w:t>
      </w:r>
      <w:r>
        <w:rPr>
          <w:b/>
          <w:color w:val="333333"/>
          <w:sz w:val="36"/>
          <w:szCs w:val="36"/>
        </w:rPr>
        <w:br/>
      </w:r>
      <w:r>
        <w:rPr>
          <w:color w:val="333333"/>
          <w:sz w:val="22"/>
          <w:szCs w:val="22"/>
        </w:rPr>
        <w:t>MR 369</w:t>
      </w:r>
      <w:r>
        <w:rPr>
          <w:color w:val="333333"/>
          <w:sz w:val="22"/>
          <w:szCs w:val="22"/>
        </w:rPr>
        <w:br/>
        <w:t>Cronologia metà del I secolo d. C.</w:t>
      </w:r>
      <w:r>
        <w:rPr>
          <w:color w:val="333333"/>
          <w:sz w:val="22"/>
          <w:szCs w:val="22"/>
        </w:rPr>
        <w:br/>
        <w:t>Altezza cm 194</w:t>
      </w:r>
      <w:r>
        <w:rPr>
          <w:color w:val="333333"/>
          <w:sz w:val="22"/>
          <w:szCs w:val="22"/>
        </w:rPr>
        <w:br/>
        <w:t xml:space="preserve">Peso </w:t>
      </w:r>
      <w:r>
        <w:rPr>
          <w:sz w:val="22"/>
          <w:szCs w:val="22"/>
        </w:rPr>
        <w:t>365,33 kg</w:t>
      </w:r>
    </w:p>
    <w:p w14:paraId="5D883156" w14:textId="77777777" w:rsidR="007927C5" w:rsidRDefault="007927C5">
      <w:pPr>
        <w:spacing w:after="150" w:line="360" w:lineRule="auto"/>
        <w:rPr>
          <w:sz w:val="22"/>
          <w:szCs w:val="22"/>
        </w:rPr>
      </w:pPr>
    </w:p>
    <w:p w14:paraId="4CD98822" w14:textId="77777777" w:rsidR="007927C5" w:rsidRDefault="00163E78">
      <w:pPr>
        <w:spacing w:after="150" w:line="360" w:lineRule="auto"/>
        <w:rPr>
          <w:color w:val="333333"/>
          <w:sz w:val="26"/>
          <w:szCs w:val="26"/>
        </w:rPr>
      </w:pPr>
      <w:r>
        <w:rPr>
          <w:b/>
          <w:color w:val="333333"/>
          <w:sz w:val="26"/>
          <w:szCs w:val="26"/>
        </w:rPr>
        <w:t>DESCRIZIONE</w:t>
      </w:r>
    </w:p>
    <w:p w14:paraId="50485CAA" w14:textId="77777777" w:rsidR="007927C5" w:rsidRDefault="00163E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La statua in bronzo della Vittoria alata è per composizione, conservazione e materiale </w:t>
      </w:r>
      <w:r>
        <w:rPr>
          <w:b/>
          <w:sz w:val="22"/>
          <w:szCs w:val="22"/>
        </w:rPr>
        <w:t>una delle opere più rappresentative dell’arte romana</w:t>
      </w:r>
      <w:r>
        <w:rPr>
          <w:sz w:val="22"/>
          <w:szCs w:val="22"/>
        </w:rPr>
        <w:t>.</w:t>
      </w:r>
    </w:p>
    <w:p w14:paraId="0317B735" w14:textId="77777777" w:rsidR="007927C5" w:rsidRDefault="00163E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Venne trovata a Brescia nel 1826 presso il </w:t>
      </w:r>
      <w:proofErr w:type="spellStart"/>
      <w:r>
        <w:rPr>
          <w:sz w:val="22"/>
          <w:szCs w:val="22"/>
        </w:rPr>
        <w:t>Capitolium</w:t>
      </w:r>
      <w:proofErr w:type="spellEnd"/>
      <w:r>
        <w:rPr>
          <w:sz w:val="22"/>
          <w:szCs w:val="22"/>
        </w:rPr>
        <w:t>, in occasione di indagini archeologiche condotte dai membri d</w:t>
      </w:r>
      <w:r>
        <w:rPr>
          <w:sz w:val="22"/>
          <w:szCs w:val="22"/>
        </w:rPr>
        <w:t>ell’Ateneo di Scienze Lettere e Arti ai piedi del colle Cidneo, unitamente a centinaia di altri manufatti in bronzo</w:t>
      </w:r>
    </w:p>
    <w:p w14:paraId="3FDC30BD" w14:textId="77777777" w:rsidR="007927C5" w:rsidRDefault="00163E78">
      <w:pPr>
        <w:spacing w:line="360" w:lineRule="auto"/>
        <w:rPr>
          <w:color w:val="252525"/>
          <w:sz w:val="22"/>
          <w:szCs w:val="22"/>
        </w:rPr>
      </w:pPr>
      <w:r>
        <w:rPr>
          <w:color w:val="252525"/>
          <w:sz w:val="22"/>
          <w:szCs w:val="22"/>
        </w:rPr>
        <w:t xml:space="preserve">Nel bronzo è riprodotta una </w:t>
      </w:r>
      <w:r>
        <w:rPr>
          <w:b/>
          <w:color w:val="252525"/>
          <w:sz w:val="22"/>
          <w:szCs w:val="22"/>
        </w:rPr>
        <w:t>figura femminile alata</w:t>
      </w:r>
      <w:r>
        <w:rPr>
          <w:color w:val="252525"/>
          <w:sz w:val="22"/>
          <w:szCs w:val="22"/>
        </w:rPr>
        <w:t xml:space="preserve">, alta poco meno di due metri (cm 194), con una postura oggi incompleta per la perdita di </w:t>
      </w:r>
      <w:r>
        <w:rPr>
          <w:color w:val="252525"/>
          <w:sz w:val="22"/>
          <w:szCs w:val="22"/>
        </w:rPr>
        <w:t>alcuni elementi che ne completavano il gesto e la posizione di equilibrio; il piede sinistro doveva poggiare molto probabilmente sull’elmo di Marte, il braccio sinistro doveva trattenere uno scudo, sostenuto anche dalla gamba flessa, scudo sul quale, con u</w:t>
      </w:r>
      <w:r>
        <w:rPr>
          <w:color w:val="252525"/>
          <w:sz w:val="22"/>
          <w:szCs w:val="22"/>
        </w:rPr>
        <w:t xml:space="preserve">no </w:t>
      </w:r>
      <w:r>
        <w:rPr>
          <w:sz w:val="22"/>
          <w:szCs w:val="22"/>
        </w:rPr>
        <w:t>stilo</w:t>
      </w:r>
      <w:r>
        <w:rPr>
          <w:color w:val="252525"/>
          <w:sz w:val="22"/>
          <w:szCs w:val="22"/>
        </w:rPr>
        <w:t xml:space="preserve">, la divinità aveva inciso il nome del vincitore, affidandolo al bronzo e offrendolo alla vista di chi la guardava. </w:t>
      </w:r>
    </w:p>
    <w:p w14:paraId="7D469D3F" w14:textId="77777777" w:rsidR="007927C5" w:rsidRDefault="007927C5">
      <w:pPr>
        <w:spacing w:line="360" w:lineRule="auto"/>
        <w:rPr>
          <w:color w:val="252525"/>
          <w:sz w:val="12"/>
          <w:szCs w:val="12"/>
        </w:rPr>
      </w:pPr>
    </w:p>
    <w:p w14:paraId="190B81E2" w14:textId="77777777" w:rsidR="007927C5" w:rsidRDefault="00163E78">
      <w:pPr>
        <w:spacing w:line="360" w:lineRule="auto"/>
        <w:rPr>
          <w:color w:val="252525"/>
          <w:sz w:val="22"/>
          <w:szCs w:val="22"/>
        </w:rPr>
      </w:pPr>
      <w:r>
        <w:rPr>
          <w:color w:val="252525"/>
          <w:sz w:val="22"/>
          <w:szCs w:val="22"/>
        </w:rPr>
        <w:t xml:space="preserve">A contatto con il corpo è riprodotto un chitone leggero, trattenuto in alto forse da due fermagli, oggi perduti; la veste è scesa </w:t>
      </w:r>
      <w:r>
        <w:rPr>
          <w:color w:val="252525"/>
          <w:sz w:val="22"/>
          <w:szCs w:val="22"/>
        </w:rPr>
        <w:t xml:space="preserve">sulla spalla destra e lascia scoperto anche il seno, mentre sul resto del busto aderisce con un effetto quasi di bagnato. La parte inferiore del corpo è coperta da un </w:t>
      </w:r>
      <w:proofErr w:type="spellStart"/>
      <w:r>
        <w:rPr>
          <w:i/>
          <w:color w:val="252525"/>
          <w:sz w:val="22"/>
          <w:szCs w:val="22"/>
        </w:rPr>
        <w:t>himation</w:t>
      </w:r>
      <w:proofErr w:type="spellEnd"/>
      <w:r>
        <w:rPr>
          <w:color w:val="252525"/>
          <w:sz w:val="22"/>
          <w:szCs w:val="22"/>
        </w:rPr>
        <w:t>, di aspetto e di volume più pesanti, che si avvolge intorno alle gambe e ai fian</w:t>
      </w:r>
      <w:r>
        <w:rPr>
          <w:color w:val="252525"/>
          <w:sz w:val="22"/>
          <w:szCs w:val="22"/>
        </w:rPr>
        <w:t xml:space="preserve">chi da sinistra verso destra, caratterizzando con </w:t>
      </w:r>
      <w:r>
        <w:rPr>
          <w:noProof/>
          <w:color w:val="252525"/>
          <w:sz w:val="22"/>
          <w:szCs w:val="22"/>
        </w:rPr>
        <w:drawing>
          <wp:anchor distT="0" distB="0" distL="114300" distR="114300" simplePos="0" relativeHeight="251658240" behindDoc="0" locked="0" layoutInCell="1" hidden="0" allowOverlap="1" wp14:anchorId="0DB52878" wp14:editId="79DE3352">
            <wp:simplePos x="0" y="0"/>
            <wp:positionH relativeFrom="page">
              <wp:posOffset>3810</wp:posOffset>
            </wp:positionH>
            <wp:positionV relativeFrom="page">
              <wp:posOffset>9626751</wp:posOffset>
            </wp:positionV>
            <wp:extent cx="7560000" cy="1069090"/>
            <wp:effectExtent l="0" t="0" r="0" b="0"/>
            <wp:wrapTopAndBottom distT="0" distB="0"/>
            <wp:docPr id="8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color w:val="252525"/>
          <w:sz w:val="22"/>
          <w:szCs w:val="22"/>
        </w:rPr>
        <w:t xml:space="preserve">questo andamento il tipo statuario. </w:t>
      </w:r>
    </w:p>
    <w:p w14:paraId="698288A6" w14:textId="77777777" w:rsidR="007927C5" w:rsidRDefault="00163E78">
      <w:pPr>
        <w:spacing w:line="360" w:lineRule="auto"/>
        <w:rPr>
          <w:color w:val="252525"/>
          <w:sz w:val="22"/>
          <w:szCs w:val="22"/>
        </w:rPr>
      </w:pPr>
      <w:r>
        <w:rPr>
          <w:color w:val="252525"/>
          <w:sz w:val="22"/>
          <w:szCs w:val="22"/>
        </w:rPr>
        <w:t xml:space="preserve">Il </w:t>
      </w:r>
      <w:r>
        <w:rPr>
          <w:b/>
          <w:color w:val="252525"/>
          <w:sz w:val="22"/>
          <w:szCs w:val="22"/>
        </w:rPr>
        <w:t>volto</w:t>
      </w:r>
      <w:r>
        <w:rPr>
          <w:color w:val="252525"/>
          <w:sz w:val="22"/>
          <w:szCs w:val="22"/>
        </w:rPr>
        <w:t xml:space="preserve"> presenta due lamine metalliche che chiudono le orbite, probabilmente inserite poco dopo la scoperta, a risarcire i vuoti degli occhi originali andati perduti; </w:t>
      </w:r>
      <w:r>
        <w:rPr>
          <w:color w:val="252525"/>
          <w:sz w:val="22"/>
          <w:szCs w:val="22"/>
        </w:rPr>
        <w:t xml:space="preserve">i capelli, acconciati con </w:t>
      </w:r>
      <w:r>
        <w:rPr>
          <w:color w:val="252525"/>
          <w:sz w:val="22"/>
          <w:szCs w:val="22"/>
        </w:rPr>
        <w:lastRenderedPageBreak/>
        <w:t xml:space="preserve">una sorta di </w:t>
      </w:r>
      <w:r>
        <w:rPr>
          <w:i/>
          <w:color w:val="252525"/>
          <w:sz w:val="22"/>
          <w:szCs w:val="22"/>
        </w:rPr>
        <w:t>chignon</w:t>
      </w:r>
      <w:r>
        <w:rPr>
          <w:color w:val="252525"/>
          <w:sz w:val="22"/>
          <w:szCs w:val="22"/>
        </w:rPr>
        <w:t xml:space="preserve">, sono trattenuti da una fascia illuminata da agemine in argento, che riproducono foglie probabilmente di </w:t>
      </w:r>
      <w:r>
        <w:rPr>
          <w:sz w:val="22"/>
          <w:szCs w:val="22"/>
        </w:rPr>
        <w:t>mirto e rosette</w:t>
      </w:r>
      <w:r>
        <w:rPr>
          <w:color w:val="252525"/>
          <w:sz w:val="22"/>
          <w:szCs w:val="22"/>
        </w:rPr>
        <w:t xml:space="preserve">. </w:t>
      </w:r>
    </w:p>
    <w:p w14:paraId="4FC1486E" w14:textId="77777777" w:rsidR="007927C5" w:rsidRDefault="00163E78">
      <w:pPr>
        <w:spacing w:line="360" w:lineRule="auto"/>
        <w:rPr>
          <w:color w:val="252525"/>
          <w:sz w:val="22"/>
          <w:szCs w:val="22"/>
        </w:rPr>
      </w:pPr>
      <w:r>
        <w:rPr>
          <w:color w:val="252525"/>
          <w:sz w:val="22"/>
          <w:szCs w:val="22"/>
        </w:rPr>
        <w:t xml:space="preserve">In alcune zone delle parti anatomiche non coperte dagli abiti si intravedono </w:t>
      </w:r>
      <w:r>
        <w:rPr>
          <w:b/>
          <w:color w:val="252525"/>
          <w:sz w:val="22"/>
          <w:szCs w:val="22"/>
        </w:rPr>
        <w:t>tracce di</w:t>
      </w:r>
      <w:r>
        <w:rPr>
          <w:b/>
          <w:color w:val="252525"/>
          <w:sz w:val="22"/>
          <w:szCs w:val="22"/>
        </w:rPr>
        <w:t xml:space="preserve"> doratura</w:t>
      </w:r>
      <w:r>
        <w:rPr>
          <w:color w:val="252525"/>
          <w:sz w:val="22"/>
          <w:szCs w:val="22"/>
        </w:rPr>
        <w:t xml:space="preserve">, trattamento forse riservato all’epidermide. </w:t>
      </w:r>
    </w:p>
    <w:p w14:paraId="45049507" w14:textId="77777777" w:rsidR="007927C5" w:rsidRDefault="00163E78">
      <w:pPr>
        <w:spacing w:line="360" w:lineRule="auto"/>
        <w:rPr>
          <w:sz w:val="12"/>
          <w:szCs w:val="12"/>
        </w:rPr>
      </w:pPr>
      <w:r>
        <w:rPr>
          <w:sz w:val="22"/>
          <w:szCs w:val="22"/>
        </w:rPr>
        <w:t xml:space="preserve">Completano la figura </w:t>
      </w:r>
      <w:r>
        <w:rPr>
          <w:b/>
          <w:sz w:val="22"/>
          <w:szCs w:val="22"/>
        </w:rPr>
        <w:t>due ampie ali</w:t>
      </w:r>
      <w:r>
        <w:rPr>
          <w:sz w:val="22"/>
          <w:szCs w:val="22"/>
        </w:rPr>
        <w:t xml:space="preserve"> caratterizzate da lunghe piume, pressoché bidimensionali nella parte inferiore e più plastiche nella parte alta.</w:t>
      </w:r>
      <w:r>
        <w:rPr>
          <w:sz w:val="22"/>
          <w:szCs w:val="22"/>
        </w:rPr>
        <w:br/>
      </w:r>
    </w:p>
    <w:p w14:paraId="5BD60B0D" w14:textId="77777777" w:rsidR="007927C5" w:rsidRDefault="00163E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 dettagli stilistici nonché quelli riscontrati per il metodo di realizzazione della statua non possono che essere la cifra di un </w:t>
      </w:r>
      <w:r>
        <w:rPr>
          <w:b/>
          <w:i/>
          <w:sz w:val="22"/>
          <w:szCs w:val="22"/>
        </w:rPr>
        <w:t>atelier</w:t>
      </w:r>
      <w:r>
        <w:rPr>
          <w:b/>
          <w:sz w:val="22"/>
          <w:szCs w:val="22"/>
        </w:rPr>
        <w:t xml:space="preserve"> di </w:t>
      </w:r>
      <w:r>
        <w:rPr>
          <w:b/>
          <w:sz w:val="22"/>
          <w:szCs w:val="22"/>
        </w:rPr>
        <w:t>alto livello</w:t>
      </w:r>
      <w:r>
        <w:rPr>
          <w:sz w:val="22"/>
          <w:szCs w:val="22"/>
        </w:rPr>
        <w:t xml:space="preserve">, che poteva avvalersi di un </w:t>
      </w:r>
      <w:r>
        <w:rPr>
          <w:b/>
          <w:sz w:val="22"/>
          <w:szCs w:val="22"/>
        </w:rPr>
        <w:t>artista</w:t>
      </w:r>
      <w:r>
        <w:rPr>
          <w:sz w:val="22"/>
          <w:szCs w:val="22"/>
        </w:rPr>
        <w:t xml:space="preserve"> maturo per la scelta del modello e la costruzione armonica di questo </w:t>
      </w:r>
      <w:r>
        <w:rPr>
          <w:b/>
          <w:sz w:val="22"/>
          <w:szCs w:val="22"/>
        </w:rPr>
        <w:t>tipo statuario unico e originale</w:t>
      </w:r>
      <w:r>
        <w:rPr>
          <w:sz w:val="22"/>
          <w:szCs w:val="22"/>
        </w:rPr>
        <w:t xml:space="preserve"> nel panorama di quanto noto, ma anche di maestranze qualificate e ben organizzate. </w:t>
      </w:r>
    </w:p>
    <w:p w14:paraId="3D72E5F0" w14:textId="77777777" w:rsidR="007927C5" w:rsidRDefault="00163E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La statua infatti è s</w:t>
      </w:r>
      <w:r>
        <w:rPr>
          <w:sz w:val="22"/>
          <w:szCs w:val="22"/>
        </w:rPr>
        <w:t xml:space="preserve">tata realizzata con il </w:t>
      </w:r>
      <w:r>
        <w:rPr>
          <w:b/>
          <w:sz w:val="22"/>
          <w:szCs w:val="22"/>
        </w:rPr>
        <w:t>metodo della fusione a cera persa cava indiretta</w:t>
      </w:r>
      <w:r>
        <w:rPr>
          <w:sz w:val="22"/>
          <w:szCs w:val="22"/>
        </w:rPr>
        <w:t xml:space="preserve">, costituita da almeno 30 parti fuse separatamente e poi saldate tra loro. </w:t>
      </w:r>
    </w:p>
    <w:p w14:paraId="7BEBF775" w14:textId="77777777" w:rsidR="007927C5" w:rsidRDefault="00163E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Non si esclude che possa essere stata realizzata in Italia settentrionale.</w:t>
      </w:r>
    </w:p>
    <w:p w14:paraId="26814A74" w14:textId="77777777" w:rsidR="007927C5" w:rsidRDefault="007927C5">
      <w:pPr>
        <w:spacing w:line="360" w:lineRule="auto"/>
        <w:rPr>
          <w:sz w:val="12"/>
          <w:szCs w:val="12"/>
        </w:rPr>
      </w:pPr>
    </w:p>
    <w:p w14:paraId="4911FCDC" w14:textId="77777777" w:rsidR="007927C5" w:rsidRDefault="00163E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Indubbiamente il bronzo doveva tr</w:t>
      </w:r>
      <w:r>
        <w:rPr>
          <w:sz w:val="22"/>
          <w:szCs w:val="22"/>
        </w:rPr>
        <w:t xml:space="preserve">ovarsi in un edificio o in uno spazio pubblico dell’antica </w:t>
      </w:r>
      <w:r>
        <w:rPr>
          <w:i/>
          <w:sz w:val="22"/>
          <w:szCs w:val="22"/>
        </w:rPr>
        <w:t>Brixia</w:t>
      </w:r>
      <w:r>
        <w:rPr>
          <w:sz w:val="22"/>
          <w:szCs w:val="22"/>
        </w:rPr>
        <w:t xml:space="preserve">, offerto alla vista dei cittadini e a ricordo forse di un successo militare. </w:t>
      </w:r>
    </w:p>
    <w:p w14:paraId="521E7104" w14:textId="77777777" w:rsidR="007927C5" w:rsidRDefault="00163E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Allo stato attuale delle conoscenze sull’urbanistica e l’architettura pubblica di Brescia per i decenni centrali</w:t>
      </w:r>
      <w:r>
        <w:rPr>
          <w:sz w:val="22"/>
          <w:szCs w:val="22"/>
        </w:rPr>
        <w:t xml:space="preserve"> del I secolo d. C. le ipotesi che possono essere avanzate riguardano </w:t>
      </w:r>
      <w:r>
        <w:rPr>
          <w:b/>
          <w:sz w:val="22"/>
          <w:szCs w:val="22"/>
        </w:rPr>
        <w:t>spazi e monumenti</w:t>
      </w:r>
      <w:r>
        <w:rPr>
          <w:sz w:val="22"/>
          <w:szCs w:val="22"/>
        </w:rPr>
        <w:t xml:space="preserve"> topograficamente vicini al luogo del rinvenimento stesso. </w:t>
      </w:r>
    </w:p>
    <w:p w14:paraId="74E29246" w14:textId="77777777" w:rsidR="007927C5" w:rsidRDefault="00163E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Avrebbe potuto accogliere la statua, ad esempio, il rinnovato santuario tardorepubblicano, che in età auguste</w:t>
      </w:r>
      <w:r>
        <w:rPr>
          <w:sz w:val="22"/>
          <w:szCs w:val="22"/>
        </w:rPr>
        <w:t xml:space="preserve">a subì una significativa trasformazione dell’architettura e degli apparati decorativi, che rimase in uso sino alla costruzione del </w:t>
      </w:r>
      <w:proofErr w:type="spellStart"/>
      <w:r>
        <w:rPr>
          <w:i/>
          <w:sz w:val="22"/>
          <w:szCs w:val="22"/>
        </w:rPr>
        <w:t>Capitolium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flavio</w:t>
      </w:r>
      <w:proofErr w:type="spellEnd"/>
      <w:r>
        <w:rPr>
          <w:sz w:val="22"/>
          <w:szCs w:val="22"/>
        </w:rPr>
        <w:t xml:space="preserve">, avvenuta dopo il 69 d. C. per invito dell’imperatore Vespasiano stesso. </w:t>
      </w:r>
    </w:p>
    <w:p w14:paraId="33126FE1" w14:textId="77777777" w:rsidR="007927C5" w:rsidRDefault="00163E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Anche in questo nuovo edificio di</w:t>
      </w:r>
      <w:r>
        <w:rPr>
          <w:sz w:val="22"/>
          <w:szCs w:val="22"/>
        </w:rPr>
        <w:t xml:space="preserve"> culto poteva essere collocata la Vittoria alata, così come nel foro, che con i suoi portici era in continuità architettonica con il tempio, garantendo una quinta monumentale di grande scenografia per il cuore religioso e </w:t>
      </w: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hidden="0" allowOverlap="1" wp14:anchorId="5C63C5AD" wp14:editId="7AA36578">
            <wp:simplePos x="0" y="0"/>
            <wp:positionH relativeFrom="page">
              <wp:posOffset>-1424</wp:posOffset>
            </wp:positionH>
            <wp:positionV relativeFrom="page">
              <wp:posOffset>9649184</wp:posOffset>
            </wp:positionV>
            <wp:extent cx="7560000" cy="1069090"/>
            <wp:effectExtent l="0" t="0" r="0" b="0"/>
            <wp:wrapTopAndBottom distT="0" distB="0"/>
            <wp:docPr id="9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 xml:space="preserve">politico della città. </w:t>
      </w:r>
    </w:p>
    <w:p w14:paraId="655AECAB" w14:textId="77777777" w:rsidR="007927C5" w:rsidRDefault="00163E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Non si può</w:t>
      </w:r>
      <w:r>
        <w:rPr>
          <w:sz w:val="22"/>
          <w:szCs w:val="22"/>
        </w:rPr>
        <w:t xml:space="preserve"> escludere infine nemmeno il contiguo teatro, la cui fase più antica risale all’età augustea, con modifiche e adeguamenti nel tempo, sino ad arrivare al completo rifacimento della scena in età severiana. </w:t>
      </w:r>
    </w:p>
    <w:p w14:paraId="6C364578" w14:textId="77777777" w:rsidR="007927C5" w:rsidRDefault="007927C5">
      <w:pPr>
        <w:spacing w:line="360" w:lineRule="auto"/>
        <w:rPr>
          <w:sz w:val="22"/>
          <w:szCs w:val="22"/>
        </w:rPr>
      </w:pPr>
    </w:p>
    <w:p w14:paraId="7913F544" w14:textId="77777777" w:rsidR="007927C5" w:rsidRDefault="00163E78">
      <w:pPr>
        <w:spacing w:after="150" w:line="360" w:lineRule="auto"/>
        <w:rPr>
          <w:sz w:val="22"/>
          <w:szCs w:val="22"/>
        </w:rPr>
      </w:pPr>
      <w:r>
        <w:rPr>
          <w:i/>
          <w:sz w:val="22"/>
          <w:szCs w:val="22"/>
        </w:rPr>
        <w:t xml:space="preserve">Testo a cura di </w:t>
      </w:r>
      <w:r>
        <w:rPr>
          <w:b/>
          <w:i/>
          <w:sz w:val="22"/>
          <w:szCs w:val="22"/>
        </w:rPr>
        <w:t>Francesca Morandini</w:t>
      </w:r>
      <w:r>
        <w:rPr>
          <w:i/>
          <w:sz w:val="22"/>
          <w:szCs w:val="22"/>
        </w:rPr>
        <w:t xml:space="preserve">, conservatore </w:t>
      </w:r>
      <w:r>
        <w:rPr>
          <w:i/>
          <w:sz w:val="22"/>
          <w:szCs w:val="22"/>
        </w:rPr>
        <w:t>collezioni e aree archeologiche di Fondazione Brescia Musei.</w:t>
      </w:r>
    </w:p>
    <w:sectPr w:rsidR="007927C5">
      <w:footerReference w:type="default" r:id="rId8"/>
      <w:headerReference w:type="first" r:id="rId9"/>
      <w:footerReference w:type="first" r:id="rId10"/>
      <w:pgSz w:w="11900" w:h="16840"/>
      <w:pgMar w:top="1701" w:right="1427" w:bottom="2268" w:left="1559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21A22" w14:textId="77777777" w:rsidR="00000000" w:rsidRDefault="00163E78">
      <w:pPr>
        <w:spacing w:line="240" w:lineRule="auto"/>
      </w:pPr>
      <w:r>
        <w:separator/>
      </w:r>
    </w:p>
  </w:endnote>
  <w:endnote w:type="continuationSeparator" w:id="0">
    <w:p w14:paraId="5D767E81" w14:textId="77777777" w:rsidR="00000000" w:rsidRDefault="00163E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AF6F0" w14:textId="77777777" w:rsidR="007927C5" w:rsidRDefault="007927C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DCC9" w14:textId="77777777" w:rsidR="007927C5" w:rsidRDefault="007927C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8B4D0" w14:textId="77777777" w:rsidR="00000000" w:rsidRDefault="00163E78">
      <w:pPr>
        <w:spacing w:line="240" w:lineRule="auto"/>
      </w:pPr>
      <w:r>
        <w:separator/>
      </w:r>
    </w:p>
  </w:footnote>
  <w:footnote w:type="continuationSeparator" w:id="0">
    <w:p w14:paraId="3CCED717" w14:textId="77777777" w:rsidR="00000000" w:rsidRDefault="00163E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59B1E" w14:textId="77777777" w:rsidR="007927C5" w:rsidRDefault="00163E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6FAECC9F" wp14:editId="1FECDCB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2160000"/>
          <wp:effectExtent l="0" t="0" r="0" b="0"/>
          <wp:wrapTopAndBottom distT="0" dist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216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7C5"/>
    <w:rsid w:val="00163E78"/>
    <w:rsid w:val="0079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C2A5"/>
  <w15:docId w15:val="{74E4414D-82FA-4607-BE1D-4A46FD69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3"/>
        <w:szCs w:val="23"/>
        <w:lang w:val="it-IT" w:eastAsia="it-IT" w:bidi="ar-SA"/>
      </w:rPr>
    </w:rPrDefault>
    <w:pPrDefault>
      <w:pPr>
        <w:spacing w:line="28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outlineLvl w:val="1"/>
    </w:pPr>
    <w:rPr>
      <w:u w:val="single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472C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spacing w:line="360" w:lineRule="auto"/>
    </w:pPr>
    <w:rPr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7C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7CE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E114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8163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163C"/>
  </w:style>
  <w:style w:type="paragraph" w:styleId="Pidipagina">
    <w:name w:val="footer"/>
    <w:basedOn w:val="Normale"/>
    <w:link w:val="PidipaginaCarattere"/>
    <w:uiPriority w:val="99"/>
    <w:unhideWhenUsed/>
    <w:rsid w:val="0038163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1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Hgl4hJcKCrLhD2BdLM3TNVNdxg==">AMUW2mUdLxpQX+J3UDF+XXOaSCx37fkCkrMZSMhz5wXv+hCnfpiGTo6g6lSVTiMOrkFaCf/08zd/CNB4V2pdbXYaPoe0MYnI/zU+SukybMXMeAAVkW0Jaq0=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Karadjov</dc:creator>
  <cp:lastModifiedBy>Clara Cervia</cp:lastModifiedBy>
  <cp:revision>2</cp:revision>
  <dcterms:created xsi:type="dcterms:W3CDTF">2020-09-28T17:56:00Z</dcterms:created>
  <dcterms:modified xsi:type="dcterms:W3CDTF">2020-12-17T09:31:00Z</dcterms:modified>
</cp:coreProperties>
</file>