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17230" w14:textId="2EAE7244" w:rsidR="00582D3D" w:rsidRDefault="00C24B2C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Salvo diversa evoluzione della situazione epidemica in atto, l’accesso a Brixia - parco archeologico di B</w:t>
      </w:r>
      <w:r>
        <w:rPr>
          <w:b/>
          <w:sz w:val="26"/>
          <w:szCs w:val="26"/>
        </w:rPr>
        <w:t>rescia romana avverrà congiuntamente alla riapertura delle sedi museali prevista in relazione alle disposizioni di legge vigenti attualmente vigenti si</w:t>
      </w:r>
      <w:r>
        <w:rPr>
          <w:b/>
          <w:sz w:val="26"/>
          <w:szCs w:val="26"/>
        </w:rPr>
        <w:t>no a sabato 16 gennaio 2021.</w:t>
      </w:r>
    </w:p>
    <w:p w14:paraId="26067A13" w14:textId="77777777" w:rsidR="00582D3D" w:rsidRDefault="00582D3D">
      <w:pPr>
        <w:spacing w:line="276" w:lineRule="auto"/>
        <w:rPr>
          <w:b/>
          <w:sz w:val="22"/>
          <w:szCs w:val="22"/>
        </w:rPr>
      </w:pPr>
    </w:p>
    <w:p w14:paraId="6185EE30" w14:textId="77777777" w:rsidR="00582D3D" w:rsidRDefault="00582D3D">
      <w:pPr>
        <w:spacing w:line="276" w:lineRule="auto"/>
        <w:rPr>
          <w:sz w:val="22"/>
          <w:szCs w:val="22"/>
        </w:rPr>
      </w:pPr>
    </w:p>
    <w:p w14:paraId="6A0F859F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ORARIO DI APERTURA</w:t>
      </w:r>
    </w:p>
    <w:p w14:paraId="70860AF6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martedì - domenica </w:t>
      </w:r>
    </w:p>
    <w:p w14:paraId="615F7647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10 - 18 </w:t>
      </w:r>
    </w:p>
    <w:p w14:paraId="264965D3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chiuso i lunedì non festivi</w:t>
      </w:r>
    </w:p>
    <w:p w14:paraId="68D415EF" w14:textId="77777777" w:rsidR="00582D3D" w:rsidRDefault="00582D3D">
      <w:pPr>
        <w:spacing w:line="276" w:lineRule="auto"/>
        <w:rPr>
          <w:sz w:val="22"/>
          <w:szCs w:val="22"/>
        </w:rPr>
      </w:pPr>
    </w:p>
    <w:p w14:paraId="2B5A5A33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Tutti gli spazi all'aperto (</w:t>
      </w:r>
      <w:proofErr w:type="spellStart"/>
      <w:r>
        <w:rPr>
          <w:sz w:val="22"/>
          <w:szCs w:val="22"/>
        </w:rPr>
        <w:t>Capitolium</w:t>
      </w:r>
      <w:proofErr w:type="spellEnd"/>
      <w:r>
        <w:rPr>
          <w:sz w:val="22"/>
          <w:szCs w:val="22"/>
        </w:rPr>
        <w:t xml:space="preserve"> e Teatro romano) sono a ingresso libero.</w:t>
      </w:r>
    </w:p>
    <w:p w14:paraId="44433157" w14:textId="77777777" w:rsidR="00582D3D" w:rsidRDefault="00582D3D">
      <w:pPr>
        <w:spacing w:line="276" w:lineRule="auto"/>
        <w:rPr>
          <w:sz w:val="22"/>
          <w:szCs w:val="22"/>
        </w:rPr>
      </w:pPr>
    </w:p>
    <w:p w14:paraId="60C8B623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Il Santuario repubblicano e le aule del </w:t>
      </w:r>
      <w:proofErr w:type="spellStart"/>
      <w:r>
        <w:rPr>
          <w:sz w:val="22"/>
          <w:szCs w:val="22"/>
        </w:rPr>
        <w:t>Capitolium</w:t>
      </w:r>
      <w:proofErr w:type="spellEnd"/>
      <w:r>
        <w:rPr>
          <w:sz w:val="22"/>
          <w:szCs w:val="22"/>
        </w:rPr>
        <w:t xml:space="preserve"> con la Vittoria </w:t>
      </w:r>
      <w:r>
        <w:rPr>
          <w:sz w:val="22"/>
          <w:szCs w:val="22"/>
        </w:rPr>
        <w:t xml:space="preserve">Alata, sono visitabili ogni 20 minuti. La biglietteria chiude 60 minuti prima della chiusura. </w:t>
      </w:r>
    </w:p>
    <w:p w14:paraId="0F004D43" w14:textId="77777777" w:rsidR="00582D3D" w:rsidRDefault="00C24B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Prenotazione consigliata.</w:t>
      </w:r>
    </w:p>
    <w:p w14:paraId="19A0B013" w14:textId="77777777" w:rsidR="00582D3D" w:rsidRDefault="00582D3D">
      <w:pPr>
        <w:spacing w:line="276" w:lineRule="auto"/>
        <w:rPr>
          <w:sz w:val="22"/>
          <w:szCs w:val="22"/>
        </w:rPr>
      </w:pPr>
    </w:p>
    <w:p w14:paraId="448F8D3D" w14:textId="77777777" w:rsidR="00582D3D" w:rsidRDefault="00C24B2C">
      <w:pPr>
        <w:spacing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Informazioni</w:t>
      </w:r>
    </w:p>
    <w:p w14:paraId="522A29D0" w14:textId="77777777" w:rsidR="00582D3D" w:rsidRDefault="00C24B2C">
      <w:pPr>
        <w:spacing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030 2977833-834 </w:t>
      </w:r>
    </w:p>
    <w:p w14:paraId="3692E36F" w14:textId="77777777" w:rsidR="00582D3D" w:rsidRDefault="00C24B2C">
      <w:pPr>
        <w:spacing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(da lunedì a domenica 10 -16)</w:t>
      </w:r>
    </w:p>
    <w:p w14:paraId="3C2BEF1E" w14:textId="77777777" w:rsidR="00582D3D" w:rsidRDefault="00C24B2C">
      <w:pPr>
        <w:spacing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santagiulia@bresciamusei.com</w:t>
      </w:r>
    </w:p>
    <w:p w14:paraId="7C812AE9" w14:textId="77777777" w:rsidR="00582D3D" w:rsidRDefault="00C24B2C">
      <w:pPr>
        <w:spacing w:line="276" w:lineRule="auto"/>
        <w:jc w:val="left"/>
        <w:rPr>
          <w:sz w:val="22"/>
          <w:szCs w:val="22"/>
        </w:rPr>
      </w:pPr>
      <w:hyperlink r:id="rId7">
        <w:r>
          <w:rPr>
            <w:sz w:val="22"/>
            <w:szCs w:val="22"/>
            <w:u w:val="single"/>
          </w:rPr>
          <w:t>b</w:t>
        </w:r>
        <w:r>
          <w:rPr>
            <w:sz w:val="22"/>
            <w:szCs w:val="22"/>
            <w:u w:val="single"/>
          </w:rPr>
          <w:t>resciamusei.com</w:t>
        </w:r>
      </w:hyperlink>
      <w:r>
        <w:rPr>
          <w:sz w:val="22"/>
          <w:szCs w:val="22"/>
        </w:rPr>
        <w:t xml:space="preserve"> </w:t>
      </w:r>
    </w:p>
    <w:p w14:paraId="025824C2" w14:textId="77777777" w:rsidR="00582D3D" w:rsidRDefault="00C24B2C">
      <w:pPr>
        <w:spacing w:line="276" w:lineRule="auto"/>
        <w:jc w:val="left"/>
        <w:rPr>
          <w:sz w:val="22"/>
          <w:szCs w:val="22"/>
        </w:rPr>
      </w:pPr>
      <w:hyperlink r:id="rId8">
        <w:r>
          <w:rPr>
            <w:sz w:val="22"/>
            <w:szCs w:val="22"/>
            <w:u w:val="single"/>
          </w:rPr>
          <w:t>vittorialatabrescia.it</w:t>
        </w:r>
      </w:hyperlink>
    </w:p>
    <w:p w14:paraId="0A86E08D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73612BEE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71DF4ED2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1EDFCBA5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0A944E70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7691DBD3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54AB363F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474CEDD2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6D4C7072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2882B97B" w14:textId="77777777" w:rsidR="00582D3D" w:rsidRDefault="00582D3D">
      <w:pPr>
        <w:spacing w:line="240" w:lineRule="auto"/>
        <w:ind w:left="-567" w:right="-574"/>
        <w:jc w:val="right"/>
        <w:rPr>
          <w:rFonts w:ascii="Neue Haas Unica Pro" w:eastAsia="Neue Haas Unica Pro" w:hAnsi="Neue Haas Unica Pro" w:cs="Neue Haas Unica Pro"/>
          <w:b/>
          <w:sz w:val="24"/>
          <w:szCs w:val="24"/>
        </w:rPr>
      </w:pPr>
    </w:p>
    <w:p w14:paraId="3A126519" w14:textId="77777777" w:rsidR="00582D3D" w:rsidRDefault="00C24B2C">
      <w:pPr>
        <w:spacing w:line="240" w:lineRule="auto"/>
        <w:ind w:left="-567" w:right="-574"/>
        <w:jc w:val="left"/>
        <w:rPr>
          <w:rFonts w:ascii="Neue Haas Unica Pro" w:eastAsia="Neue Haas Unica Pro" w:hAnsi="Neue Haas Unica Pro" w:cs="Neue Haas Unica Pro"/>
          <w:b/>
          <w:sz w:val="24"/>
          <w:szCs w:val="24"/>
        </w:rPr>
      </w:pPr>
      <w:r>
        <w:rPr>
          <w:rFonts w:ascii="Neue Haas Unica Pro" w:eastAsia="Neue Haas Unica Pro" w:hAnsi="Neue Haas Unica Pro" w:cs="Neue Haas Unica Pro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hidden="0" allowOverlap="1" wp14:anchorId="6EBD3982" wp14:editId="6C5430BA">
            <wp:simplePos x="0" y="0"/>
            <wp:positionH relativeFrom="page">
              <wp:posOffset>74775</wp:posOffset>
            </wp:positionH>
            <wp:positionV relativeFrom="page">
              <wp:posOffset>9251820</wp:posOffset>
            </wp:positionV>
            <wp:extent cx="7560000" cy="1069090"/>
            <wp:effectExtent l="0" t="0" r="0" b="0"/>
            <wp:wrapSquare wrapText="bothSides" distT="0" distB="0" distL="114300" distR="114300"/>
            <wp:docPr id="1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582D3D">
      <w:footerReference w:type="default" r:id="rId10"/>
      <w:headerReference w:type="first" r:id="rId11"/>
      <w:footerReference w:type="first" r:id="rId12"/>
      <w:pgSz w:w="11900" w:h="16840"/>
      <w:pgMar w:top="1701" w:right="1701" w:bottom="2268" w:left="1133" w:header="1704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E2FED" w14:textId="77777777" w:rsidR="00000000" w:rsidRDefault="00C24B2C">
      <w:pPr>
        <w:spacing w:line="240" w:lineRule="auto"/>
      </w:pPr>
      <w:r>
        <w:separator/>
      </w:r>
    </w:p>
  </w:endnote>
  <w:endnote w:type="continuationSeparator" w:id="0">
    <w:p w14:paraId="0324A68E" w14:textId="77777777" w:rsidR="00000000" w:rsidRDefault="00C24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e Haas Unica Pr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5CF2A" w14:textId="77777777" w:rsidR="00582D3D" w:rsidRDefault="00C24B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919D62D" wp14:editId="5F3A4D6B">
          <wp:simplePos x="0" y="0"/>
          <wp:positionH relativeFrom="column">
            <wp:posOffset>-1080129</wp:posOffset>
          </wp:positionH>
          <wp:positionV relativeFrom="paragraph">
            <wp:posOffset>0</wp:posOffset>
          </wp:positionV>
          <wp:extent cx="7560000" cy="1069090"/>
          <wp:effectExtent l="0" t="0" r="0" b="0"/>
          <wp:wrapTopAndBottom distT="0" distB="0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9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E7282" w14:textId="77777777" w:rsidR="00582D3D" w:rsidRDefault="00582D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E3D30" w14:textId="77777777" w:rsidR="00000000" w:rsidRDefault="00C24B2C">
      <w:pPr>
        <w:spacing w:line="240" w:lineRule="auto"/>
      </w:pPr>
      <w:r>
        <w:separator/>
      </w:r>
    </w:p>
  </w:footnote>
  <w:footnote w:type="continuationSeparator" w:id="0">
    <w:p w14:paraId="47CCA865" w14:textId="77777777" w:rsidR="00000000" w:rsidRDefault="00C24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7E617" w14:textId="77777777" w:rsidR="00582D3D" w:rsidRDefault="00C24B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5AB8F03D" wp14:editId="03E5435C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l="0" t="0" r="0" b="0"/>
          <wp:wrapTopAndBottom distT="0" dist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3D"/>
    <w:rsid w:val="00582D3D"/>
    <w:rsid w:val="00C2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8DB7"/>
  <w15:docId w15:val="{5E28F14C-9C33-4F37-AFEF-0721A2C8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3"/>
        <w:szCs w:val="23"/>
        <w:lang w:val="it-IT" w:eastAsia="it-IT" w:bidi="ar-SA"/>
      </w:rPr>
    </w:rPrDefault>
    <w:pPrDefault>
      <w:pPr>
        <w:spacing w:line="2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472C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line="360" w:lineRule="auto"/>
    </w:pPr>
    <w:rPr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character" w:styleId="Collegamentoipertestuale">
    <w:name w:val="Hyperlink"/>
    <w:basedOn w:val="Carpredefinitoparagrafo"/>
    <w:uiPriority w:val="99"/>
    <w:semiHidden/>
    <w:unhideWhenUsed/>
    <w:rsid w:val="004E2450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25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2557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23F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23FE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3FEF"/>
  </w:style>
  <w:style w:type="paragraph" w:styleId="Pidipagina">
    <w:name w:val="footer"/>
    <w:basedOn w:val="Normale"/>
    <w:link w:val="PidipaginaCarattere"/>
    <w:uiPriority w:val="99"/>
    <w:unhideWhenUsed/>
    <w:rsid w:val="00423FE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ttorialatabrescia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esciamusei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swSSVrEjquNh3ouPZbX5Zaj/uQ==">AMUW2mU51MVzmYHj4HjzuDZqGvp8xliRzduPXQufsfUTFQlY+05uFT+Xm/egkqnVwMRTcoCf1jjTAdp5o0WTLcsj1yMX5x+0+57Gt9kO6ernnXjLaRvPFiE=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Clara Cervia</cp:lastModifiedBy>
  <cp:revision>2</cp:revision>
  <dcterms:created xsi:type="dcterms:W3CDTF">2020-12-16T16:46:00Z</dcterms:created>
  <dcterms:modified xsi:type="dcterms:W3CDTF">2020-12-17T09:34:00Z</dcterms:modified>
</cp:coreProperties>
</file>