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F5587" w14:textId="77777777" w:rsidR="00A0362A" w:rsidRDefault="00065F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rFonts w:ascii="Arial" w:eastAsia="Arial" w:hAnsi="Arial" w:cs="Arial"/>
          <w:b/>
          <w:sz w:val="36"/>
          <w:szCs w:val="36"/>
        </w:rPr>
      </w:pPr>
      <w:bookmarkStart w:id="0" w:name="_heading=h.hyccthesn43y" w:colFirst="0" w:colLast="0"/>
      <w:bookmarkEnd w:id="0"/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114300" distB="114300" distL="114300" distR="114300" wp14:anchorId="5F8328CB" wp14:editId="45C0E81C">
            <wp:extent cx="4610100" cy="990600"/>
            <wp:effectExtent l="0" t="0" r="0" b="0"/>
            <wp:docPr id="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F0FE46" w14:textId="77777777" w:rsidR="00A0362A" w:rsidRDefault="00A036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sz w:val="36"/>
          <w:szCs w:val="36"/>
        </w:rPr>
      </w:pPr>
      <w:bookmarkStart w:id="1" w:name="_heading=h.x4oebvlrvs2p" w:colFirst="0" w:colLast="0"/>
      <w:bookmarkEnd w:id="1"/>
    </w:p>
    <w:p w14:paraId="4857A24A" w14:textId="77777777" w:rsidR="00A0362A" w:rsidRDefault="00A036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sz w:val="36"/>
          <w:szCs w:val="36"/>
        </w:rPr>
      </w:pPr>
      <w:bookmarkStart w:id="2" w:name="_heading=h.u5ojhm9q8cm6" w:colFirst="0" w:colLast="0"/>
      <w:bookmarkEnd w:id="2"/>
    </w:p>
    <w:p w14:paraId="64F9C912" w14:textId="77777777" w:rsidR="00A0362A" w:rsidRDefault="00065F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  <w:sz w:val="36"/>
          <w:szCs w:val="36"/>
        </w:rPr>
      </w:pPr>
      <w:bookmarkStart w:id="3" w:name="_heading=h.vq037w5knvf2" w:colFirst="0" w:colLast="0"/>
      <w:bookmarkEnd w:id="3"/>
      <w:r>
        <w:rPr>
          <w:rFonts w:ascii="Arial" w:eastAsia="Arial" w:hAnsi="Arial" w:cs="Arial"/>
          <w:b/>
          <w:color w:val="000000"/>
          <w:sz w:val="36"/>
          <w:szCs w:val="36"/>
        </w:rPr>
        <w:t xml:space="preserve">Vittoria Alata restaurata </w:t>
      </w:r>
    </w:p>
    <w:p w14:paraId="5DA3AFB9" w14:textId="77777777" w:rsidR="00A0362A" w:rsidRDefault="00A0362A">
      <w:pPr>
        <w:spacing w:line="360" w:lineRule="auto"/>
        <w:jc w:val="both"/>
        <w:rPr>
          <w:rFonts w:ascii="Arial" w:eastAsia="Arial" w:hAnsi="Arial" w:cs="Arial"/>
        </w:rPr>
      </w:pPr>
    </w:p>
    <w:p w14:paraId="6B993388" w14:textId="77777777" w:rsidR="00A0362A" w:rsidRDefault="00065F68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Desidero affidare a queste brevi righe il mio sincero compiacimento per il ritorno della “Vittoria Alata” presso il </w:t>
      </w:r>
      <w:r>
        <w:rPr>
          <w:rFonts w:ascii="Arial" w:eastAsia="Arial" w:hAnsi="Arial" w:cs="Arial"/>
          <w:i/>
        </w:rPr>
        <w:t>Capitolium</w:t>
      </w:r>
      <w:r>
        <w:rPr>
          <w:rFonts w:ascii="Arial" w:eastAsia="Arial" w:hAnsi="Arial" w:cs="Arial"/>
        </w:rPr>
        <w:t xml:space="preserve"> di Brescia. Integralmente restaurata e riportata al suo originario e bronzeo splendore, è una delle icone più ammirate della stor</w:t>
      </w:r>
      <w:r>
        <w:rPr>
          <w:rFonts w:ascii="Arial" w:eastAsia="Arial" w:hAnsi="Arial" w:cs="Arial"/>
        </w:rPr>
        <w:t xml:space="preserve">ia antica di Brescia. Da oggi, queste nobili vestigia della </w:t>
      </w:r>
      <w:r>
        <w:rPr>
          <w:rFonts w:ascii="Arial" w:eastAsia="Arial" w:hAnsi="Arial" w:cs="Arial"/>
          <w:i/>
        </w:rPr>
        <w:t>Brixia</w:t>
      </w:r>
      <w:r>
        <w:rPr>
          <w:rFonts w:ascii="Arial" w:eastAsia="Arial" w:hAnsi="Arial" w:cs="Arial"/>
        </w:rPr>
        <w:t xml:space="preserve"> imperiale, troveranno una collocazione all’altezza della loro rilevanza storica e artistica nella cella orientale del Tempio Capitolino, rivisitata per l’occasione. Regione Lombardia ha sos</w:t>
      </w:r>
      <w:r>
        <w:rPr>
          <w:rFonts w:ascii="Arial" w:eastAsia="Arial" w:hAnsi="Arial" w:cs="Arial"/>
        </w:rPr>
        <w:t>tenuto concretamente e convintamente questo prezioso recupero di una reliquia di inestimabile valore, attraverso un bando dedicato espressamente al miglioramento e alla valorizzazione di sedi, strutture e attrezzature dei siti Unesco lombardi. Come noto, i</w:t>
      </w:r>
      <w:r>
        <w:rPr>
          <w:rFonts w:ascii="Arial" w:eastAsia="Arial" w:hAnsi="Arial" w:cs="Arial"/>
        </w:rPr>
        <w:t>l riconoscimento Unesco quale patrimonio dell’umanità, avvenuto nel 2011, del sito seriale “I Longobardi in Italia. I luoghi del potere (568-774 d.C.)”, interessa una cospicua porzione del centro storico di Brescia, comprendente i resti archeologici e monu</w:t>
      </w:r>
      <w:r>
        <w:rPr>
          <w:rFonts w:ascii="Arial" w:eastAsia="Arial" w:hAnsi="Arial" w:cs="Arial"/>
        </w:rPr>
        <w:t xml:space="preserve">mentali dell’area del </w:t>
      </w:r>
      <w:r>
        <w:rPr>
          <w:rFonts w:ascii="Arial" w:eastAsia="Arial" w:hAnsi="Arial" w:cs="Arial"/>
          <w:i/>
        </w:rPr>
        <w:t>Capitolium</w:t>
      </w:r>
      <w:r>
        <w:rPr>
          <w:rFonts w:ascii="Arial" w:eastAsia="Arial" w:hAnsi="Arial" w:cs="Arial"/>
        </w:rPr>
        <w:t xml:space="preserve"> e i resti archeologici del complesso monastico di </w:t>
      </w:r>
      <w:r>
        <w:rPr>
          <w:rFonts w:ascii="Arial" w:eastAsia="Arial" w:hAnsi="Arial" w:cs="Arial"/>
          <w:i/>
        </w:rPr>
        <w:t>Santa Giulia</w:t>
      </w:r>
      <w:r>
        <w:rPr>
          <w:rFonts w:ascii="Arial" w:eastAsia="Arial" w:hAnsi="Arial" w:cs="Arial"/>
        </w:rPr>
        <w:t xml:space="preserve">. </w:t>
      </w:r>
    </w:p>
    <w:p w14:paraId="6F5AD4C0" w14:textId="5CC8DD5C" w:rsidR="00A0362A" w:rsidRDefault="00065F68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ritorno della “Vittoria Alata” al suo solenne e suggestivo fulgore – con quella lieve torsione che la rende quasi danzante – avrà effetti incisivi, per i b</w:t>
      </w:r>
      <w:r>
        <w:rPr>
          <w:rFonts w:ascii="Arial" w:eastAsia="Arial" w:hAnsi="Arial" w:cs="Arial"/>
        </w:rPr>
        <w:t xml:space="preserve">resciani e per i lombardi, sul senso di appartenenza, sull’identità culturale e sulla comprensione del passato. </w:t>
      </w:r>
    </w:p>
    <w:p w14:paraId="0AA0BCC5" w14:textId="77777777" w:rsidR="00A0362A" w:rsidRDefault="00A0362A">
      <w:pPr>
        <w:spacing w:line="360" w:lineRule="auto"/>
        <w:jc w:val="both"/>
        <w:rPr>
          <w:rFonts w:ascii="Arial" w:eastAsia="Arial" w:hAnsi="Arial" w:cs="Arial"/>
        </w:rPr>
      </w:pPr>
    </w:p>
    <w:p w14:paraId="53767E26" w14:textId="77777777" w:rsidR="00A0362A" w:rsidRDefault="00065F68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Ciò rappresenta un valore aggiunto incalcolabile, a maggior ragione in un anno come quello che ci stiamo lasciando alle spalle. Il suo svelam</w:t>
      </w:r>
      <w:r>
        <w:rPr>
          <w:rFonts w:ascii="Arial" w:eastAsia="Arial" w:hAnsi="Arial" w:cs="Arial"/>
        </w:rPr>
        <w:t xml:space="preserve">ento al pubblico il 17 dicembre – ancorché “a distanza”, nel rispetto degli attuali protocolli sanitari – celebra degnamente i cento anni dal suo ritorno a </w:t>
      </w:r>
      <w:r>
        <w:rPr>
          <w:rFonts w:ascii="Arial" w:eastAsia="Arial" w:hAnsi="Arial" w:cs="Arial"/>
        </w:rPr>
        <w:lastRenderedPageBreak/>
        <w:t>Brescia, dopo l’esilio romano forzato per motivi bellici risalenti addirittura al primo conflitto mo</w:t>
      </w:r>
      <w:r>
        <w:rPr>
          <w:rFonts w:ascii="Arial" w:eastAsia="Arial" w:hAnsi="Arial" w:cs="Arial"/>
        </w:rPr>
        <w:t xml:space="preserve">ndiale. Una rinascita che coincide simbolicamente con altri due anniversari significativi per la storia culturale e artistica della città di Brescia. </w:t>
      </w:r>
    </w:p>
    <w:p w14:paraId="03D25492" w14:textId="77777777" w:rsidR="00A0362A" w:rsidRDefault="00065F68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L’anno prossimo, infatti, ricorrono i 195 anni dal ritrovamento della Vittoria bronzea che, smontata, rim</w:t>
      </w:r>
      <w:r>
        <w:rPr>
          <w:rFonts w:ascii="Arial" w:eastAsia="Arial" w:hAnsi="Arial" w:cs="Arial"/>
        </w:rPr>
        <w:t>ase per secoli occultata e al riparo, tra le pieghe del Tempio Capitolino. E sempre nel 2021, ricorre il decimo anniversario del riconoscimento Unesco. Il recupero della “Vittoria Alata”, con il sostegno operoso di Regione Lombardia, dimostra – una volta d</w:t>
      </w:r>
      <w:r>
        <w:rPr>
          <w:rFonts w:ascii="Arial" w:eastAsia="Arial" w:hAnsi="Arial" w:cs="Arial"/>
        </w:rPr>
        <w:t>i più – l’attenzione che l’istituzione regionale rivolge a Brescia in previsione del 2023, quando sarà capitale della cultura insieme con Bergamo. Un’ultima considerazione sullo sconfinato giacimento storico, culturale e artistico rappresentato dal patrimo</w:t>
      </w:r>
      <w:r>
        <w:rPr>
          <w:rFonts w:ascii="Arial" w:eastAsia="Arial" w:hAnsi="Arial" w:cs="Arial"/>
        </w:rPr>
        <w:t>nio Unesco riconosciuto in Lombardia. L’Assessorato che ho l’onore di guidare intende proseguire senza esitazioni nella politica di valorizzazione di ogni sito Unesco e dei quasi venti riconoscimenti lombardi complessivi, con il deliberato obiettivo di rea</w:t>
      </w:r>
      <w:r>
        <w:rPr>
          <w:rFonts w:ascii="Arial" w:eastAsia="Arial" w:hAnsi="Arial" w:cs="Arial"/>
        </w:rPr>
        <w:t>lizzare, attraverso la rete dei siti Unesco in Lombardia, una sorta di carta d’identità culturale, declinata al plurale, della nostra grande Regione.</w:t>
      </w:r>
    </w:p>
    <w:p w14:paraId="37031392" w14:textId="77777777" w:rsidR="00A0362A" w:rsidRDefault="00A0362A">
      <w:pPr>
        <w:spacing w:line="360" w:lineRule="auto"/>
        <w:rPr>
          <w:rFonts w:ascii="Arial" w:eastAsia="Arial" w:hAnsi="Arial" w:cs="Arial"/>
        </w:rPr>
      </w:pPr>
    </w:p>
    <w:p w14:paraId="0C129A2A" w14:textId="77777777" w:rsidR="00A0362A" w:rsidRDefault="00065F68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Prof. Stefano Bruno Galli</w:t>
      </w:r>
      <w:r>
        <w:rPr>
          <w:rFonts w:ascii="Arial" w:eastAsia="Arial" w:hAnsi="Arial" w:cs="Arial"/>
          <w:b/>
        </w:rPr>
        <w:br/>
      </w:r>
      <w:r>
        <w:rPr>
          <w:rFonts w:ascii="Arial" w:eastAsia="Arial" w:hAnsi="Arial" w:cs="Arial"/>
        </w:rPr>
        <w:t xml:space="preserve">Assessore all’Autonomia e Cultura di Regione Lombardia </w:t>
      </w:r>
    </w:p>
    <w:p w14:paraId="704792D6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164BB919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51E2C12E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12E2F812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251393C5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7D2A9BDC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2CDC2F5B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3A9F1E2B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2E0A080D" w14:textId="77777777" w:rsidR="00065F68" w:rsidRDefault="00065F68">
      <w:pPr>
        <w:spacing w:line="360" w:lineRule="auto"/>
        <w:rPr>
          <w:rFonts w:ascii="Arial" w:eastAsia="Arial" w:hAnsi="Arial" w:cs="Arial"/>
        </w:rPr>
      </w:pPr>
    </w:p>
    <w:p w14:paraId="40B0F3BB" w14:textId="51E3B4F0" w:rsidR="00A0362A" w:rsidRDefault="00065F68">
      <w:pPr>
        <w:spacing w:line="360" w:lineRule="auto"/>
        <w:rPr>
          <w:rFonts w:ascii="Arial" w:eastAsia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5DB7574F" wp14:editId="5D9D50C8">
            <wp:simplePos x="0" y="0"/>
            <wp:positionH relativeFrom="column">
              <wp:posOffset>-790574</wp:posOffset>
            </wp:positionH>
            <wp:positionV relativeFrom="paragraph">
              <wp:posOffset>3463925</wp:posOffset>
            </wp:positionV>
            <wp:extent cx="7560000" cy="1069090"/>
            <wp:effectExtent l="0" t="0" r="0" b="0"/>
            <wp:wrapTopAndBottom distT="0" distB="0"/>
            <wp:docPr id="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A0362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CF11B" w14:textId="77777777" w:rsidR="00000000" w:rsidRDefault="00065F68">
      <w:pPr>
        <w:spacing w:after="0" w:line="240" w:lineRule="auto"/>
      </w:pPr>
      <w:r>
        <w:separator/>
      </w:r>
    </w:p>
  </w:endnote>
  <w:endnote w:type="continuationSeparator" w:id="0">
    <w:p w14:paraId="7E1115B5" w14:textId="77777777" w:rsidR="00000000" w:rsidRDefault="0006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59844" w14:textId="77777777" w:rsidR="00A0362A" w:rsidRDefault="00A036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C998A" w14:textId="77777777" w:rsidR="00A0362A" w:rsidRDefault="00A036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0F5C0" w14:textId="77777777" w:rsidR="00000000" w:rsidRDefault="00065F68">
      <w:pPr>
        <w:spacing w:after="0" w:line="240" w:lineRule="auto"/>
      </w:pPr>
      <w:r>
        <w:separator/>
      </w:r>
    </w:p>
  </w:footnote>
  <w:footnote w:type="continuationSeparator" w:id="0">
    <w:p w14:paraId="2EDF7391" w14:textId="77777777" w:rsidR="00000000" w:rsidRDefault="00065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5B070" w14:textId="77777777" w:rsidR="00A0362A" w:rsidRDefault="00A036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0E4CF" w14:textId="77777777" w:rsidR="00A0362A" w:rsidRDefault="00065F68">
    <w:r>
      <w:rPr>
        <w:noProof/>
      </w:rPr>
      <w:drawing>
        <wp:anchor distT="0" distB="0" distL="114300" distR="114300" simplePos="0" relativeHeight="251658240" behindDoc="0" locked="0" layoutInCell="1" hidden="0" allowOverlap="1" wp14:anchorId="112D4A08" wp14:editId="117DE24F">
          <wp:simplePos x="0" y="0"/>
          <wp:positionH relativeFrom="page">
            <wp:posOffset>-1424</wp:posOffset>
          </wp:positionH>
          <wp:positionV relativeFrom="page">
            <wp:posOffset>0</wp:posOffset>
          </wp:positionV>
          <wp:extent cx="7560000" cy="2160000"/>
          <wp:effectExtent l="0" t="0" r="0" b="0"/>
          <wp:wrapTopAndBottom distT="0" dist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2A"/>
    <w:rsid w:val="00065F68"/>
    <w:rsid w:val="00A0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59FD"/>
  <w15:docId w15:val="{1165A326-DA7B-4C55-99C0-08EE99A4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5C0A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085C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jsDN9Yg+T6yU18x58vKt0h91pA==">AMUW2mVlNt/bU7G898euUdf0gVBhM1k481hG3qr1Bvg1Gf9ShIE2KBcnpbdhpyuvA+fTpLk+nLXJhrLa6xDhZTdqIK3SJXRh2uMHVrQSIWmTc25ENQpiaxsjW/B07dvc1giXblF4Mh48OpRpHVISIyoxkbVUSjbLWIz6t5BeXWVuuNhqEVMXIOzFS3BEBdV7p15a1P7A9Ets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Fanfoni</dc:creator>
  <cp:lastModifiedBy>Clara Cervia</cp:lastModifiedBy>
  <cp:revision>2</cp:revision>
  <dcterms:created xsi:type="dcterms:W3CDTF">2020-12-09T20:38:00Z</dcterms:created>
  <dcterms:modified xsi:type="dcterms:W3CDTF">2020-12-17T09:28:00Z</dcterms:modified>
</cp:coreProperties>
</file>