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51ED6" w14:textId="78122E61" w:rsidR="00A24A56" w:rsidRDefault="00891B08" w:rsidP="006E0B45">
      <w:pPr>
        <w:jc w:val="center"/>
        <w:rPr>
          <w:rFonts w:asciiTheme="minorHAnsi" w:hAnsiTheme="minorHAnsi" w:cstheme="minorHAnsi"/>
          <w:b/>
          <w:sz w:val="28"/>
        </w:rPr>
      </w:pPr>
      <w:r>
        <w:rPr>
          <w:rFonts w:asciiTheme="minorHAnsi" w:hAnsiTheme="minorHAnsi" w:cstheme="minorHAnsi"/>
          <w:b/>
          <w:sz w:val="28"/>
        </w:rPr>
        <w:t>LE OPERE IMPERDIBILI</w:t>
      </w:r>
    </w:p>
    <w:p w14:paraId="6C8A36E5" w14:textId="1EBD656E" w:rsidR="00891B08" w:rsidRDefault="00891B08" w:rsidP="006E0B45">
      <w:pPr>
        <w:jc w:val="center"/>
        <w:rPr>
          <w:rFonts w:asciiTheme="minorHAnsi" w:hAnsiTheme="minorHAnsi" w:cstheme="minorHAnsi"/>
          <w:b/>
          <w:sz w:val="28"/>
        </w:rPr>
      </w:pPr>
      <w:r>
        <w:rPr>
          <w:rFonts w:asciiTheme="minorHAnsi" w:hAnsiTheme="minorHAnsi" w:cstheme="minorHAnsi"/>
          <w:b/>
          <w:sz w:val="28"/>
        </w:rPr>
        <w:t xml:space="preserve">Dal </w:t>
      </w:r>
      <w:proofErr w:type="spellStart"/>
      <w:r>
        <w:rPr>
          <w:rFonts w:asciiTheme="minorHAnsi" w:hAnsiTheme="minorHAnsi" w:cstheme="minorHAnsi"/>
          <w:b/>
          <w:sz w:val="28"/>
        </w:rPr>
        <w:t>Kunsthistoriches</w:t>
      </w:r>
      <w:proofErr w:type="spellEnd"/>
      <w:r>
        <w:rPr>
          <w:rFonts w:asciiTheme="minorHAnsi" w:hAnsiTheme="minorHAnsi" w:cstheme="minorHAnsi"/>
          <w:b/>
          <w:sz w:val="28"/>
        </w:rPr>
        <w:t xml:space="preserve"> Museum di Vienna</w:t>
      </w:r>
    </w:p>
    <w:p w14:paraId="2B084BEA" w14:textId="1B4A569D" w:rsidR="006E0B45" w:rsidRDefault="006E0B45" w:rsidP="006E0B45">
      <w:pPr>
        <w:jc w:val="both"/>
        <w:rPr>
          <w:rFonts w:asciiTheme="minorHAnsi" w:hAnsiTheme="minorHAnsi" w:cstheme="minorHAnsi"/>
          <w:b/>
          <w:bCs/>
          <w:szCs w:val="22"/>
        </w:rPr>
      </w:pPr>
    </w:p>
    <w:p w14:paraId="0DE973A5" w14:textId="500633AB" w:rsidR="00891B08" w:rsidRDefault="00891B08" w:rsidP="006E0B45">
      <w:pPr>
        <w:jc w:val="both"/>
        <w:rPr>
          <w:rFonts w:asciiTheme="minorHAnsi" w:hAnsiTheme="minorHAnsi" w:cstheme="minorHAnsi"/>
          <w:b/>
          <w:bCs/>
          <w:szCs w:val="22"/>
        </w:rPr>
      </w:pPr>
    </w:p>
    <w:p w14:paraId="798C4C67" w14:textId="77777777" w:rsidR="005E42F7" w:rsidRPr="005E42F7" w:rsidRDefault="005E42F7" w:rsidP="005E42F7">
      <w:pPr>
        <w:spacing w:after="120"/>
        <w:jc w:val="both"/>
        <w:rPr>
          <w:rFonts w:asciiTheme="minorHAnsi" w:hAnsiTheme="minorHAnsi" w:cstheme="minorHAnsi"/>
          <w:bCs/>
          <w:i/>
          <w:iCs/>
          <w:szCs w:val="22"/>
        </w:rPr>
      </w:pPr>
      <w:r w:rsidRPr="005E42F7">
        <w:rPr>
          <w:rFonts w:asciiTheme="minorHAnsi" w:hAnsiTheme="minorHAnsi" w:cstheme="minorHAnsi"/>
          <w:bCs/>
          <w:i/>
          <w:iCs/>
          <w:szCs w:val="22"/>
        </w:rPr>
        <w:t xml:space="preserve">Visitando la mostra si compie un viaggio attraverso le molteplici sfaccettature che caratterizzano il genere della “natura morta”. Dalle scene di mercato a quelle di interni, dalle tavole imbandite alle vanitas, dalle nature morte venatorie a quelle floreali, la mostra rivela allo spettatore un caleidoscopio di opere, fra le quali alcune sono assolutamente da non perdere se si vuole comprendere il significato intrinseco del genere della “natura morta”. </w:t>
      </w:r>
    </w:p>
    <w:p w14:paraId="216C68A7" w14:textId="77777777" w:rsidR="004E6C09" w:rsidRDefault="005E42F7" w:rsidP="005E42F7">
      <w:pPr>
        <w:spacing w:after="120"/>
        <w:jc w:val="both"/>
        <w:rPr>
          <w:rFonts w:asciiTheme="minorHAnsi" w:hAnsiTheme="minorHAnsi" w:cstheme="minorHAnsi"/>
          <w:bCs/>
          <w:szCs w:val="22"/>
        </w:rPr>
      </w:pPr>
      <w:r>
        <w:rPr>
          <w:rFonts w:asciiTheme="minorHAnsi" w:hAnsiTheme="minorHAnsi" w:cstheme="minorHAnsi"/>
          <w:bCs/>
          <w:szCs w:val="22"/>
        </w:rPr>
        <w:t xml:space="preserve">Tra i capolavori provenienti dal </w:t>
      </w:r>
      <w:proofErr w:type="spellStart"/>
      <w:r>
        <w:rPr>
          <w:rFonts w:asciiTheme="minorHAnsi" w:hAnsiTheme="minorHAnsi" w:cstheme="minorHAnsi"/>
          <w:bCs/>
          <w:szCs w:val="22"/>
        </w:rPr>
        <w:t>Kunsthistoriches</w:t>
      </w:r>
      <w:proofErr w:type="spellEnd"/>
      <w:r>
        <w:rPr>
          <w:rFonts w:asciiTheme="minorHAnsi" w:hAnsiTheme="minorHAnsi" w:cstheme="minorHAnsi"/>
          <w:bCs/>
          <w:szCs w:val="22"/>
        </w:rPr>
        <w:t xml:space="preserve"> Museum di Vienna, si può segnalare, nella sezione </w:t>
      </w:r>
      <w:r w:rsidRPr="004E6C09">
        <w:rPr>
          <w:rFonts w:asciiTheme="minorHAnsi" w:hAnsiTheme="minorHAnsi" w:cstheme="minorHAnsi"/>
          <w:b/>
          <w:i/>
          <w:iCs/>
          <w:szCs w:val="22"/>
        </w:rPr>
        <w:t>Mercati</w:t>
      </w:r>
      <w:r>
        <w:rPr>
          <w:rFonts w:asciiTheme="minorHAnsi" w:hAnsiTheme="minorHAnsi" w:cstheme="minorHAnsi"/>
          <w:bCs/>
          <w:szCs w:val="22"/>
        </w:rPr>
        <w:t xml:space="preserve">, </w:t>
      </w:r>
      <w:r w:rsidRPr="005E42F7">
        <w:rPr>
          <w:rFonts w:asciiTheme="minorHAnsi" w:hAnsiTheme="minorHAnsi" w:cstheme="minorHAnsi"/>
          <w:bCs/>
          <w:szCs w:val="22"/>
        </w:rPr>
        <w:t>l'</w:t>
      </w:r>
      <w:r w:rsidRPr="005E42F7">
        <w:rPr>
          <w:rFonts w:asciiTheme="minorHAnsi" w:hAnsiTheme="minorHAnsi" w:cstheme="minorHAnsi"/>
          <w:b/>
          <w:i/>
          <w:szCs w:val="22"/>
        </w:rPr>
        <w:t>Estate</w:t>
      </w:r>
      <w:r w:rsidRPr="005E42F7">
        <w:rPr>
          <w:rFonts w:asciiTheme="minorHAnsi" w:hAnsiTheme="minorHAnsi" w:cstheme="minorHAnsi"/>
          <w:b/>
          <w:szCs w:val="22"/>
        </w:rPr>
        <w:t xml:space="preserve"> di Francesco Bassano</w:t>
      </w:r>
      <w:r w:rsidRPr="005E42F7">
        <w:rPr>
          <w:rFonts w:asciiTheme="minorHAnsi" w:hAnsiTheme="minorHAnsi" w:cstheme="minorHAnsi"/>
          <w:bCs/>
          <w:szCs w:val="22"/>
        </w:rPr>
        <w:t xml:space="preserve"> (1585/1590), opera che ricorda allo spettatore il contesto geografico in cui si è immersi. Raggruppando episodi biblici e soggetti di vita agreste, questa rappresentazione della stagione estiva – identificabile grazie all'apparizione in cielo dei tre segni zodiacali Cancro, Leone e Vergine – è arricchita difatti dal sapore rurale della campagna veneta.</w:t>
      </w:r>
    </w:p>
    <w:p w14:paraId="0E56698F" w14:textId="03AAEBA4" w:rsidR="005E42F7" w:rsidRPr="005E42F7" w:rsidRDefault="005E42F7" w:rsidP="005E42F7">
      <w:pPr>
        <w:spacing w:after="120"/>
        <w:jc w:val="both"/>
        <w:rPr>
          <w:rFonts w:asciiTheme="minorHAnsi" w:hAnsiTheme="minorHAnsi" w:cstheme="minorHAnsi"/>
          <w:bCs/>
          <w:szCs w:val="22"/>
        </w:rPr>
      </w:pPr>
      <w:r w:rsidRPr="005E42F7">
        <w:rPr>
          <w:rFonts w:asciiTheme="minorHAnsi" w:hAnsiTheme="minorHAnsi" w:cstheme="minorHAnsi"/>
          <w:bCs/>
          <w:szCs w:val="22"/>
        </w:rPr>
        <w:t xml:space="preserve">Il percorso continua con un altro sottogenere, particolarmente amato dai pittori fiamminghi, quello delle scene di </w:t>
      </w:r>
      <w:r w:rsidRPr="004E6C09">
        <w:rPr>
          <w:rFonts w:asciiTheme="minorHAnsi" w:hAnsiTheme="minorHAnsi" w:cstheme="minorHAnsi"/>
          <w:b/>
          <w:i/>
          <w:iCs/>
          <w:szCs w:val="22"/>
        </w:rPr>
        <w:t>Interni</w:t>
      </w:r>
      <w:r w:rsidRPr="005E42F7">
        <w:rPr>
          <w:rFonts w:asciiTheme="minorHAnsi" w:hAnsiTheme="minorHAnsi" w:cstheme="minorHAnsi"/>
          <w:bCs/>
          <w:szCs w:val="22"/>
        </w:rPr>
        <w:t xml:space="preserve">. </w:t>
      </w:r>
      <w:r w:rsidR="004E6C09">
        <w:rPr>
          <w:rFonts w:asciiTheme="minorHAnsi" w:hAnsiTheme="minorHAnsi" w:cstheme="minorHAnsi"/>
          <w:bCs/>
          <w:szCs w:val="22"/>
        </w:rPr>
        <w:t>Nella parte dedicata a questi soggetti, u</w:t>
      </w:r>
      <w:r w:rsidRPr="005E42F7">
        <w:rPr>
          <w:rFonts w:asciiTheme="minorHAnsi" w:hAnsiTheme="minorHAnsi" w:cstheme="minorHAnsi"/>
          <w:bCs/>
          <w:szCs w:val="22"/>
        </w:rPr>
        <w:t xml:space="preserve">no sguardo speciale va posto sul </w:t>
      </w:r>
      <w:r w:rsidRPr="005E42F7">
        <w:rPr>
          <w:rFonts w:asciiTheme="minorHAnsi" w:hAnsiTheme="minorHAnsi" w:cstheme="minorHAnsi"/>
          <w:b/>
          <w:i/>
          <w:szCs w:val="22"/>
        </w:rPr>
        <w:t>Medico</w:t>
      </w:r>
      <w:r w:rsidRPr="005E42F7">
        <w:rPr>
          <w:rFonts w:asciiTheme="minorHAnsi" w:hAnsiTheme="minorHAnsi" w:cstheme="minorHAnsi"/>
          <w:b/>
          <w:szCs w:val="22"/>
        </w:rPr>
        <w:t xml:space="preserve"> di Gerard </w:t>
      </w:r>
      <w:proofErr w:type="spellStart"/>
      <w:r w:rsidRPr="005E42F7">
        <w:rPr>
          <w:rFonts w:asciiTheme="minorHAnsi" w:hAnsiTheme="minorHAnsi" w:cstheme="minorHAnsi"/>
          <w:b/>
          <w:szCs w:val="22"/>
        </w:rPr>
        <w:t>Dou</w:t>
      </w:r>
      <w:proofErr w:type="spellEnd"/>
      <w:r w:rsidRPr="005E42F7">
        <w:rPr>
          <w:rFonts w:asciiTheme="minorHAnsi" w:hAnsiTheme="minorHAnsi" w:cstheme="minorHAnsi"/>
          <w:bCs/>
          <w:szCs w:val="22"/>
        </w:rPr>
        <w:t xml:space="preserve"> (1653). Proveniente dalla “Scuola miniaturista di Leida”, l'artista riproduce qui due iconografie in una: se in secondo piano alcuni oggetti simboleggiano il “mal d'amore”, in primo piano, invece, il soggetto principale diventa l'uroscopia, dubbio metodo di ispezione delle urine utilizzato in passato dai ciarlatani per capire se una donna fosse o meno gravida.</w:t>
      </w:r>
    </w:p>
    <w:p w14:paraId="761A616F" w14:textId="68F87A75" w:rsidR="005E42F7" w:rsidRPr="005E42F7" w:rsidRDefault="005E42F7" w:rsidP="005E42F7">
      <w:pPr>
        <w:spacing w:after="120"/>
        <w:jc w:val="both"/>
        <w:rPr>
          <w:rFonts w:asciiTheme="minorHAnsi" w:hAnsiTheme="minorHAnsi" w:cstheme="minorHAnsi"/>
          <w:bCs/>
          <w:szCs w:val="22"/>
        </w:rPr>
      </w:pPr>
      <w:r w:rsidRPr="005E42F7">
        <w:rPr>
          <w:rFonts w:asciiTheme="minorHAnsi" w:hAnsiTheme="minorHAnsi" w:cstheme="minorHAnsi"/>
          <w:bCs/>
          <w:szCs w:val="22"/>
        </w:rPr>
        <w:t>Sempre di pittori fiamminghi si tratta se si vuole incantare l'osservatore con l'esecuzione perfetta e sfarzosa di nature morte</w:t>
      </w:r>
      <w:r w:rsidR="004E6C09">
        <w:rPr>
          <w:rFonts w:asciiTheme="minorHAnsi" w:hAnsiTheme="minorHAnsi" w:cstheme="minorHAnsi"/>
          <w:bCs/>
          <w:szCs w:val="22"/>
        </w:rPr>
        <w:t xml:space="preserve">, siano </w:t>
      </w:r>
      <w:r w:rsidRPr="005E42F7">
        <w:rPr>
          <w:rFonts w:asciiTheme="minorHAnsi" w:hAnsiTheme="minorHAnsi" w:cstheme="minorHAnsi"/>
          <w:bCs/>
          <w:szCs w:val="22"/>
        </w:rPr>
        <w:t xml:space="preserve">esse </w:t>
      </w:r>
      <w:r w:rsidRPr="004E6C09">
        <w:rPr>
          <w:rFonts w:asciiTheme="minorHAnsi" w:hAnsiTheme="minorHAnsi" w:cstheme="minorHAnsi"/>
          <w:b/>
          <w:i/>
          <w:iCs/>
          <w:szCs w:val="22"/>
        </w:rPr>
        <w:t>Vanitas</w:t>
      </w:r>
      <w:r w:rsidRPr="005E42F7">
        <w:rPr>
          <w:rFonts w:asciiTheme="minorHAnsi" w:hAnsiTheme="minorHAnsi" w:cstheme="minorHAnsi"/>
          <w:bCs/>
          <w:szCs w:val="22"/>
        </w:rPr>
        <w:t xml:space="preserve"> o </w:t>
      </w:r>
      <w:r w:rsidRPr="004E6C09">
        <w:rPr>
          <w:rFonts w:asciiTheme="minorHAnsi" w:hAnsiTheme="minorHAnsi" w:cstheme="minorHAnsi"/>
          <w:b/>
          <w:i/>
          <w:iCs/>
          <w:szCs w:val="22"/>
        </w:rPr>
        <w:t>Tavole imbandite</w:t>
      </w:r>
      <w:r w:rsidRPr="005E42F7">
        <w:rPr>
          <w:rFonts w:asciiTheme="minorHAnsi" w:hAnsiTheme="minorHAnsi" w:cstheme="minorHAnsi"/>
          <w:bCs/>
          <w:szCs w:val="22"/>
        </w:rPr>
        <w:t xml:space="preserve">; </w:t>
      </w:r>
      <w:r w:rsidR="004E6C09">
        <w:rPr>
          <w:rFonts w:asciiTheme="minorHAnsi" w:hAnsiTheme="minorHAnsi" w:cstheme="minorHAnsi"/>
          <w:bCs/>
          <w:szCs w:val="22"/>
        </w:rPr>
        <w:t xml:space="preserve">nelle stanze che accolgono opere appartenenti a questi generi, spicca </w:t>
      </w:r>
      <w:r w:rsidRPr="005E42F7">
        <w:rPr>
          <w:rFonts w:asciiTheme="minorHAnsi" w:hAnsiTheme="minorHAnsi" w:cstheme="minorHAnsi"/>
          <w:bCs/>
          <w:szCs w:val="22"/>
        </w:rPr>
        <w:t xml:space="preserve">la </w:t>
      </w:r>
      <w:r w:rsidRPr="005E42F7">
        <w:rPr>
          <w:rFonts w:asciiTheme="minorHAnsi" w:hAnsiTheme="minorHAnsi" w:cstheme="minorHAnsi"/>
          <w:b/>
          <w:i/>
          <w:szCs w:val="22"/>
        </w:rPr>
        <w:t>Natura morta con strumenti musicali</w:t>
      </w:r>
      <w:r w:rsidRPr="005E42F7">
        <w:rPr>
          <w:rFonts w:asciiTheme="minorHAnsi" w:hAnsiTheme="minorHAnsi" w:cstheme="minorHAnsi"/>
          <w:bCs/>
          <w:szCs w:val="22"/>
        </w:rPr>
        <w:t xml:space="preserve"> del bergamasco </w:t>
      </w:r>
      <w:r w:rsidRPr="005E42F7">
        <w:rPr>
          <w:rFonts w:asciiTheme="minorHAnsi" w:hAnsiTheme="minorHAnsi" w:cstheme="minorHAnsi"/>
          <w:b/>
          <w:szCs w:val="22"/>
        </w:rPr>
        <w:t xml:space="preserve">Evaristo </w:t>
      </w:r>
      <w:proofErr w:type="spellStart"/>
      <w:r w:rsidRPr="005E42F7">
        <w:rPr>
          <w:rFonts w:asciiTheme="minorHAnsi" w:hAnsiTheme="minorHAnsi" w:cstheme="minorHAnsi"/>
          <w:b/>
          <w:szCs w:val="22"/>
        </w:rPr>
        <w:t>Baschenis</w:t>
      </w:r>
      <w:proofErr w:type="spellEnd"/>
      <w:r w:rsidR="004E6C09">
        <w:rPr>
          <w:rFonts w:asciiTheme="minorHAnsi" w:hAnsiTheme="minorHAnsi" w:cstheme="minorHAnsi"/>
          <w:bCs/>
          <w:szCs w:val="22"/>
        </w:rPr>
        <w:t xml:space="preserve">, che colpisce </w:t>
      </w:r>
      <w:r w:rsidRPr="005E42F7">
        <w:rPr>
          <w:rFonts w:asciiTheme="minorHAnsi" w:hAnsiTheme="minorHAnsi" w:cstheme="minorHAnsi"/>
          <w:bCs/>
          <w:szCs w:val="22"/>
        </w:rPr>
        <w:t xml:space="preserve">per minuziosità e simbolismo della caducità. Eseguito verso la metà del XVII secolo, questo “concerto” di strumenti a corda è come una silenziosa rappresentazione teatrale, in cui suonatori fantasma hanno lasciato dietro di sé solamente alcune impronte digitali, intravedibili sullo strato di polvere accumulatosi da tempo sulle casse armoniche: tutto è evanescente, eccetto la pittura, che trionfa sulla fragilità umana. </w:t>
      </w:r>
    </w:p>
    <w:p w14:paraId="29282BD7" w14:textId="1F7EDB29" w:rsidR="005E42F7" w:rsidRPr="005E42F7" w:rsidRDefault="005E42F7" w:rsidP="005E42F7">
      <w:pPr>
        <w:spacing w:after="120"/>
        <w:jc w:val="both"/>
        <w:rPr>
          <w:rFonts w:asciiTheme="minorHAnsi" w:hAnsiTheme="minorHAnsi" w:cstheme="minorHAnsi"/>
          <w:bCs/>
          <w:szCs w:val="22"/>
        </w:rPr>
      </w:pPr>
      <w:r w:rsidRPr="005E42F7">
        <w:rPr>
          <w:rFonts w:asciiTheme="minorHAnsi" w:hAnsiTheme="minorHAnsi" w:cstheme="minorHAnsi"/>
          <w:bCs/>
          <w:szCs w:val="22"/>
        </w:rPr>
        <w:t xml:space="preserve">Un altro modo di raffigurare la caducità della vita è quello delle scene venatorie o di cacciagione, dove le lotte fra diversi animali o il bottino conquistato a mo' di trofeo alludono altresì alla ricchezza dei committenti. </w:t>
      </w:r>
      <w:r>
        <w:rPr>
          <w:rFonts w:asciiTheme="minorHAnsi" w:hAnsiTheme="minorHAnsi" w:cstheme="minorHAnsi"/>
          <w:bCs/>
          <w:szCs w:val="22"/>
        </w:rPr>
        <w:t xml:space="preserve">Nella sezione </w:t>
      </w:r>
      <w:r w:rsidRPr="004E6C09">
        <w:rPr>
          <w:rFonts w:asciiTheme="minorHAnsi" w:hAnsiTheme="minorHAnsi" w:cstheme="minorHAnsi"/>
          <w:b/>
          <w:i/>
          <w:iCs/>
          <w:szCs w:val="22"/>
        </w:rPr>
        <w:t>Caccia</w:t>
      </w:r>
      <w:r>
        <w:rPr>
          <w:rFonts w:asciiTheme="minorHAnsi" w:hAnsiTheme="minorHAnsi" w:cstheme="minorHAnsi"/>
          <w:bCs/>
          <w:i/>
          <w:iCs/>
          <w:szCs w:val="22"/>
        </w:rPr>
        <w:t>,</w:t>
      </w:r>
      <w:r w:rsidRPr="005E42F7">
        <w:rPr>
          <w:rFonts w:asciiTheme="minorHAnsi" w:hAnsiTheme="minorHAnsi" w:cstheme="minorHAnsi"/>
          <w:bCs/>
          <w:szCs w:val="22"/>
        </w:rPr>
        <w:t xml:space="preserve"> è </w:t>
      </w:r>
      <w:r w:rsidRPr="005E42F7">
        <w:rPr>
          <w:rFonts w:asciiTheme="minorHAnsi" w:hAnsiTheme="minorHAnsi" w:cstheme="minorHAnsi"/>
          <w:b/>
          <w:szCs w:val="22"/>
        </w:rPr>
        <w:t xml:space="preserve">Johannes </w:t>
      </w:r>
      <w:proofErr w:type="spellStart"/>
      <w:r w:rsidRPr="005E42F7">
        <w:rPr>
          <w:rFonts w:asciiTheme="minorHAnsi" w:hAnsiTheme="minorHAnsi" w:cstheme="minorHAnsi"/>
          <w:b/>
          <w:szCs w:val="22"/>
        </w:rPr>
        <w:t>Leemans</w:t>
      </w:r>
      <w:proofErr w:type="spellEnd"/>
      <w:r w:rsidRPr="005E42F7">
        <w:rPr>
          <w:rFonts w:asciiTheme="minorHAnsi" w:hAnsiTheme="minorHAnsi" w:cstheme="minorHAnsi"/>
          <w:bCs/>
          <w:szCs w:val="22"/>
        </w:rPr>
        <w:t xml:space="preserve"> a esprimere la fortuna di questo sottogenere, impiegando un effetto a </w:t>
      </w:r>
      <w:proofErr w:type="spellStart"/>
      <w:r w:rsidRPr="005E42F7">
        <w:rPr>
          <w:rFonts w:asciiTheme="minorHAnsi" w:hAnsiTheme="minorHAnsi" w:cstheme="minorHAnsi"/>
          <w:bCs/>
          <w:i/>
          <w:szCs w:val="22"/>
        </w:rPr>
        <w:t>trompe-l'œil</w:t>
      </w:r>
      <w:proofErr w:type="spellEnd"/>
      <w:r w:rsidRPr="005E42F7">
        <w:rPr>
          <w:rFonts w:asciiTheme="minorHAnsi" w:hAnsiTheme="minorHAnsi" w:cstheme="minorHAnsi"/>
          <w:bCs/>
          <w:szCs w:val="22"/>
        </w:rPr>
        <w:t xml:space="preserve"> per riprodurre una serie di </w:t>
      </w:r>
      <w:r w:rsidRPr="005E42F7">
        <w:rPr>
          <w:rFonts w:asciiTheme="minorHAnsi" w:hAnsiTheme="minorHAnsi" w:cstheme="minorHAnsi"/>
          <w:b/>
          <w:i/>
          <w:szCs w:val="22"/>
        </w:rPr>
        <w:t>Attrezzi venatori</w:t>
      </w:r>
      <w:r w:rsidRPr="005E42F7">
        <w:rPr>
          <w:rFonts w:asciiTheme="minorHAnsi" w:hAnsiTheme="minorHAnsi" w:cstheme="minorHAnsi"/>
          <w:bCs/>
          <w:szCs w:val="22"/>
        </w:rPr>
        <w:t xml:space="preserve"> (1660 </w:t>
      </w:r>
      <w:proofErr w:type="spellStart"/>
      <w:r w:rsidRPr="005E42F7">
        <w:rPr>
          <w:rFonts w:asciiTheme="minorHAnsi" w:hAnsiTheme="minorHAnsi" w:cstheme="minorHAnsi"/>
          <w:bCs/>
          <w:szCs w:val="22"/>
        </w:rPr>
        <w:t>ca</w:t>
      </w:r>
      <w:proofErr w:type="spellEnd"/>
      <w:r w:rsidRPr="005E42F7">
        <w:rPr>
          <w:rFonts w:asciiTheme="minorHAnsi" w:hAnsiTheme="minorHAnsi" w:cstheme="minorHAnsi"/>
          <w:bCs/>
          <w:szCs w:val="22"/>
        </w:rPr>
        <w:t xml:space="preserve">.). Appesi ad un pannello a muro, questi utensili realizzati in modo alquanto minuzioso simboleggiano quelli utilizzati nella falconeria, arte venatoria praticata dai nobili. Proprio per la loro preziosità, il gusto per questi inganni illusionistici si diffonde tra le classi alte della società, raggiungendo spesso prezzi elevatissimi. </w:t>
      </w:r>
    </w:p>
    <w:p w14:paraId="4067B470" w14:textId="4902C827" w:rsidR="005E42F7" w:rsidRPr="005E42F7" w:rsidRDefault="005E42F7" w:rsidP="005E42F7">
      <w:pPr>
        <w:jc w:val="both"/>
        <w:rPr>
          <w:rFonts w:asciiTheme="minorHAnsi" w:hAnsiTheme="minorHAnsi" w:cstheme="minorHAnsi"/>
          <w:bCs/>
          <w:szCs w:val="22"/>
        </w:rPr>
      </w:pPr>
      <w:r w:rsidRPr="005E42F7">
        <w:rPr>
          <w:rFonts w:asciiTheme="minorHAnsi" w:hAnsiTheme="minorHAnsi" w:cstheme="minorHAnsi"/>
          <w:bCs/>
          <w:szCs w:val="22"/>
        </w:rPr>
        <w:lastRenderedPageBreak/>
        <w:t xml:space="preserve">Concludendo il viaggio all'interno della mostra, si resterà colpiti dalla moltitudine di </w:t>
      </w:r>
      <w:r w:rsidRPr="004E6C09">
        <w:rPr>
          <w:rFonts w:asciiTheme="minorHAnsi" w:hAnsiTheme="minorHAnsi" w:cstheme="minorHAnsi"/>
          <w:b/>
          <w:i/>
          <w:iCs/>
          <w:szCs w:val="22"/>
        </w:rPr>
        <w:t>F</w:t>
      </w:r>
      <w:bookmarkStart w:id="0" w:name="_GoBack"/>
      <w:bookmarkEnd w:id="0"/>
      <w:r w:rsidRPr="004E6C09">
        <w:rPr>
          <w:rFonts w:asciiTheme="minorHAnsi" w:hAnsiTheme="minorHAnsi" w:cstheme="minorHAnsi"/>
          <w:b/>
          <w:i/>
          <w:iCs/>
          <w:szCs w:val="22"/>
        </w:rPr>
        <w:t>iori</w:t>
      </w:r>
      <w:r w:rsidRPr="005E42F7">
        <w:rPr>
          <w:rFonts w:asciiTheme="minorHAnsi" w:hAnsiTheme="minorHAnsi" w:cstheme="minorHAnsi"/>
          <w:bCs/>
          <w:szCs w:val="22"/>
        </w:rPr>
        <w:t xml:space="preserve"> che dominano le pareti delle ultime sale espositive. Diventate sempre più richieste a partire dall'inizio del XVII secolo, le nature morte con mazzi di fiori devono la loro fama a </w:t>
      </w:r>
      <w:proofErr w:type="spellStart"/>
      <w:r w:rsidRPr="005E42F7">
        <w:rPr>
          <w:rFonts w:asciiTheme="minorHAnsi" w:hAnsiTheme="minorHAnsi" w:cstheme="minorHAnsi"/>
          <w:b/>
          <w:szCs w:val="22"/>
        </w:rPr>
        <w:t>Jan</w:t>
      </w:r>
      <w:proofErr w:type="spellEnd"/>
      <w:r w:rsidRPr="005E42F7">
        <w:rPr>
          <w:rFonts w:asciiTheme="minorHAnsi" w:hAnsiTheme="minorHAnsi" w:cstheme="minorHAnsi"/>
          <w:b/>
          <w:szCs w:val="22"/>
        </w:rPr>
        <w:t xml:space="preserve"> </w:t>
      </w:r>
      <w:proofErr w:type="spellStart"/>
      <w:r w:rsidRPr="005E42F7">
        <w:rPr>
          <w:rFonts w:asciiTheme="minorHAnsi" w:hAnsiTheme="minorHAnsi" w:cstheme="minorHAnsi"/>
          <w:b/>
          <w:szCs w:val="22"/>
        </w:rPr>
        <w:t>Brueghel</w:t>
      </w:r>
      <w:proofErr w:type="spellEnd"/>
      <w:r w:rsidRPr="005E42F7">
        <w:rPr>
          <w:rFonts w:asciiTheme="minorHAnsi" w:hAnsiTheme="minorHAnsi" w:cstheme="minorHAnsi"/>
          <w:b/>
          <w:szCs w:val="22"/>
        </w:rPr>
        <w:t xml:space="preserve"> il Vecchio</w:t>
      </w:r>
      <w:r w:rsidRPr="005E42F7">
        <w:rPr>
          <w:rFonts w:asciiTheme="minorHAnsi" w:hAnsiTheme="minorHAnsi" w:cstheme="minorHAnsi"/>
          <w:bCs/>
          <w:szCs w:val="22"/>
        </w:rPr>
        <w:t xml:space="preserve">, vero e proprio capostipite di questo genere pittorico. Il suo </w:t>
      </w:r>
      <w:r w:rsidRPr="005E42F7">
        <w:rPr>
          <w:rFonts w:asciiTheme="minorHAnsi" w:hAnsiTheme="minorHAnsi" w:cstheme="minorHAnsi"/>
          <w:b/>
          <w:i/>
          <w:szCs w:val="22"/>
        </w:rPr>
        <w:t>Mazzo di fiori in un vaso blu</w:t>
      </w:r>
      <w:r w:rsidRPr="005E42F7">
        <w:rPr>
          <w:rFonts w:asciiTheme="minorHAnsi" w:hAnsiTheme="minorHAnsi" w:cstheme="minorHAnsi"/>
          <w:bCs/>
          <w:szCs w:val="22"/>
        </w:rPr>
        <w:t xml:space="preserve"> (1608 </w:t>
      </w:r>
      <w:proofErr w:type="spellStart"/>
      <w:r w:rsidRPr="005E42F7">
        <w:rPr>
          <w:rFonts w:asciiTheme="minorHAnsi" w:hAnsiTheme="minorHAnsi" w:cstheme="minorHAnsi"/>
          <w:bCs/>
          <w:szCs w:val="22"/>
        </w:rPr>
        <w:t>ca</w:t>
      </w:r>
      <w:proofErr w:type="spellEnd"/>
      <w:r w:rsidRPr="005E42F7">
        <w:rPr>
          <w:rFonts w:asciiTheme="minorHAnsi" w:hAnsiTheme="minorHAnsi" w:cstheme="minorHAnsi"/>
          <w:bCs/>
          <w:szCs w:val="22"/>
        </w:rPr>
        <w:t>.) è considerabile come uno dei capolavori del genere, sia per la sua bellezza che per la sua precisione scientifica: per dipingere una quantità così varia di fiori, come ad esempio i tulipani, l</w:t>
      </w:r>
      <w:r>
        <w:rPr>
          <w:rFonts w:asciiTheme="minorHAnsi" w:hAnsiTheme="minorHAnsi" w:cstheme="minorHAnsi"/>
          <w:bCs/>
          <w:szCs w:val="22"/>
        </w:rPr>
        <w:t>’</w:t>
      </w:r>
      <w:r w:rsidRPr="005E42F7">
        <w:rPr>
          <w:rFonts w:asciiTheme="minorHAnsi" w:hAnsiTheme="minorHAnsi" w:cstheme="minorHAnsi"/>
          <w:bCs/>
          <w:szCs w:val="22"/>
        </w:rPr>
        <w:t>artista era difatti legato ai diversi tempi e periodi di fioritura di ciascuna specie. Superando la varietà stessa della natura, l'artista diventa artefice di una creazione così sfarzosa da raggiungere prezzi ancora più elevati di quelli di pale d'altare di grande formato.</w:t>
      </w:r>
    </w:p>
    <w:p w14:paraId="18F8FFD7" w14:textId="77777777" w:rsidR="00891B08" w:rsidRPr="006E0B45" w:rsidRDefault="00891B08" w:rsidP="006E0B45">
      <w:pPr>
        <w:jc w:val="both"/>
        <w:rPr>
          <w:rFonts w:asciiTheme="minorHAnsi" w:hAnsiTheme="minorHAnsi" w:cstheme="minorHAnsi"/>
          <w:bCs/>
          <w:szCs w:val="22"/>
        </w:rPr>
      </w:pPr>
    </w:p>
    <w:sectPr w:rsidR="00891B08" w:rsidRPr="006E0B45" w:rsidSect="006B3CE3">
      <w:headerReference w:type="default" r:id="rId8"/>
      <w:footerReference w:type="default" r:id="rId9"/>
      <w:pgSz w:w="11906" w:h="16838"/>
      <w:pgMar w:top="567" w:right="1134" w:bottom="822" w:left="1134"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7C8A8" w14:textId="77777777" w:rsidR="001C7AD9" w:rsidRDefault="001C7AD9" w:rsidP="006B3CE3">
      <w:r>
        <w:separator/>
      </w:r>
    </w:p>
  </w:endnote>
  <w:endnote w:type="continuationSeparator" w:id="0">
    <w:p w14:paraId="4B4BE18E" w14:textId="77777777" w:rsidR="001C7AD9" w:rsidRDefault="001C7AD9" w:rsidP="006B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2FA57" w14:textId="77777777" w:rsidR="006B3CE3" w:rsidRDefault="006B3CE3">
    <w:pPr>
      <w:pStyle w:val="Pidipagina"/>
    </w:pPr>
    <w:r>
      <w:rPr>
        <w:noProof/>
      </w:rPr>
      <w:drawing>
        <wp:inline distT="0" distB="0" distL="0" distR="0" wp14:anchorId="08A92CEB" wp14:editId="5D2CDA09">
          <wp:extent cx="6120130" cy="120713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ura.carta.intestata.piede.8primo.jpg"/>
                  <pic:cNvPicPr/>
                </pic:nvPicPr>
                <pic:blipFill>
                  <a:blip r:embed="rId1">
                    <a:extLst>
                      <a:ext uri="{28A0092B-C50C-407E-A947-70E740481C1C}">
                        <a14:useLocalDpi xmlns:a14="http://schemas.microsoft.com/office/drawing/2010/main" val="0"/>
                      </a:ext>
                    </a:extLst>
                  </a:blip>
                  <a:stretch>
                    <a:fillRect/>
                  </a:stretch>
                </pic:blipFill>
                <pic:spPr>
                  <a:xfrm>
                    <a:off x="0" y="0"/>
                    <a:ext cx="6120130" cy="1207135"/>
                  </a:xfrm>
                  <a:prstGeom prst="rect">
                    <a:avLst/>
                  </a:prstGeom>
                </pic:spPr>
              </pic:pic>
            </a:graphicData>
          </a:graphic>
        </wp:inline>
      </w:drawing>
    </w:r>
  </w:p>
  <w:p w14:paraId="55BA8869" w14:textId="77777777" w:rsidR="006B3CE3" w:rsidRDefault="006B3CE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DCD3A" w14:textId="77777777" w:rsidR="001C7AD9" w:rsidRDefault="001C7AD9" w:rsidP="006B3CE3">
      <w:r>
        <w:separator/>
      </w:r>
    </w:p>
  </w:footnote>
  <w:footnote w:type="continuationSeparator" w:id="0">
    <w:p w14:paraId="3721BC01" w14:textId="77777777" w:rsidR="001C7AD9" w:rsidRDefault="001C7AD9" w:rsidP="006B3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0D6A4" w14:textId="77777777" w:rsidR="006B3CE3" w:rsidRDefault="006B3CE3">
    <w:pPr>
      <w:pStyle w:val="Intestazione"/>
    </w:pPr>
    <w:r>
      <w:rPr>
        <w:noProof/>
      </w:rPr>
      <w:drawing>
        <wp:inline distT="0" distB="0" distL="0" distR="0" wp14:anchorId="0AD40557" wp14:editId="02DD8E4F">
          <wp:extent cx="6109632" cy="1724025"/>
          <wp:effectExtent l="0" t="0" r="571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ura.carta.intestata.testa.8primo.jpg"/>
                  <pic:cNvPicPr/>
                </pic:nvPicPr>
                <pic:blipFill>
                  <a:blip r:embed="rId1">
                    <a:extLst>
                      <a:ext uri="{28A0092B-C50C-407E-A947-70E740481C1C}">
                        <a14:useLocalDpi xmlns:a14="http://schemas.microsoft.com/office/drawing/2010/main" val="0"/>
                      </a:ext>
                    </a:extLst>
                  </a:blip>
                  <a:stretch>
                    <a:fillRect/>
                  </a:stretch>
                </pic:blipFill>
                <pic:spPr>
                  <a:xfrm>
                    <a:off x="0" y="0"/>
                    <a:ext cx="6120130" cy="1726987"/>
                  </a:xfrm>
                  <a:prstGeom prst="rect">
                    <a:avLst/>
                  </a:prstGeom>
                </pic:spPr>
              </pic:pic>
            </a:graphicData>
          </a:graphic>
        </wp:inline>
      </w:drawing>
    </w:r>
  </w:p>
  <w:p w14:paraId="7D070C52" w14:textId="77777777" w:rsidR="006B3CE3" w:rsidRDefault="006B3CE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B73365"/>
    <w:multiLevelType w:val="hybridMultilevel"/>
    <w:tmpl w:val="91B0A6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C002698"/>
    <w:multiLevelType w:val="hybridMultilevel"/>
    <w:tmpl w:val="AA2844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4FC6D19"/>
    <w:multiLevelType w:val="hybridMultilevel"/>
    <w:tmpl w:val="64D83F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defaultTabStop w:val="708"/>
  <w:hyphenationZone w:val="283"/>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684"/>
    <w:rsid w:val="001317F9"/>
    <w:rsid w:val="001319B8"/>
    <w:rsid w:val="00135381"/>
    <w:rsid w:val="00177907"/>
    <w:rsid w:val="001C7AD9"/>
    <w:rsid w:val="001D2A36"/>
    <w:rsid w:val="002746A0"/>
    <w:rsid w:val="00324818"/>
    <w:rsid w:val="00326DA3"/>
    <w:rsid w:val="003340F2"/>
    <w:rsid w:val="0040796C"/>
    <w:rsid w:val="004E6C09"/>
    <w:rsid w:val="005534F5"/>
    <w:rsid w:val="005E42F7"/>
    <w:rsid w:val="00664F10"/>
    <w:rsid w:val="0066609C"/>
    <w:rsid w:val="006A556D"/>
    <w:rsid w:val="006B3CE3"/>
    <w:rsid w:val="006E0B45"/>
    <w:rsid w:val="00891B08"/>
    <w:rsid w:val="0091747B"/>
    <w:rsid w:val="00A24A56"/>
    <w:rsid w:val="00AC1CE5"/>
    <w:rsid w:val="00AE5894"/>
    <w:rsid w:val="00AF6684"/>
    <w:rsid w:val="00BA0971"/>
    <w:rsid w:val="00D32C64"/>
    <w:rsid w:val="00D91AAE"/>
    <w:rsid w:val="00DB3A4B"/>
    <w:rsid w:val="00E32D59"/>
    <w:rsid w:val="00EB13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7D4633B"/>
  <w15:docId w15:val="{8EDF2EC3-B86F-484B-976B-B83EB20D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1747B"/>
    <w:pPr>
      <w:spacing w:after="0" w:line="240" w:lineRule="auto"/>
    </w:pPr>
    <w:rPr>
      <w:rFonts w:ascii="Times New Roman" w:eastAsiaTheme="minorEastAsia"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AF6684"/>
    <w:pPr>
      <w:spacing w:before="100" w:beforeAutospacing="1" w:after="100" w:afterAutospacing="1"/>
    </w:pPr>
    <w:rPr>
      <w:rFonts w:eastAsia="Times New Roman"/>
    </w:rPr>
  </w:style>
  <w:style w:type="paragraph" w:styleId="Intestazione">
    <w:name w:val="header"/>
    <w:basedOn w:val="Normale"/>
    <w:link w:val="IntestazioneCarattere"/>
    <w:uiPriority w:val="99"/>
    <w:unhideWhenUsed/>
    <w:rsid w:val="006B3CE3"/>
    <w:pPr>
      <w:tabs>
        <w:tab w:val="center" w:pos="4819"/>
        <w:tab w:val="right" w:pos="9638"/>
      </w:tabs>
    </w:pPr>
  </w:style>
  <w:style w:type="character" w:customStyle="1" w:styleId="IntestazioneCarattere">
    <w:name w:val="Intestazione Carattere"/>
    <w:basedOn w:val="Carpredefinitoparagrafo"/>
    <w:link w:val="Intestazione"/>
    <w:uiPriority w:val="99"/>
    <w:rsid w:val="006B3CE3"/>
  </w:style>
  <w:style w:type="paragraph" w:styleId="Pidipagina">
    <w:name w:val="footer"/>
    <w:basedOn w:val="Normale"/>
    <w:link w:val="PidipaginaCarattere"/>
    <w:uiPriority w:val="99"/>
    <w:unhideWhenUsed/>
    <w:rsid w:val="006B3CE3"/>
    <w:pPr>
      <w:tabs>
        <w:tab w:val="center" w:pos="4819"/>
        <w:tab w:val="right" w:pos="9638"/>
      </w:tabs>
    </w:pPr>
  </w:style>
  <w:style w:type="character" w:customStyle="1" w:styleId="PidipaginaCarattere">
    <w:name w:val="Piè di pagina Carattere"/>
    <w:basedOn w:val="Carpredefinitoparagrafo"/>
    <w:link w:val="Pidipagina"/>
    <w:uiPriority w:val="99"/>
    <w:rsid w:val="006B3CE3"/>
  </w:style>
  <w:style w:type="paragraph" w:styleId="Testofumetto">
    <w:name w:val="Balloon Text"/>
    <w:basedOn w:val="Normale"/>
    <w:link w:val="TestofumettoCarattere"/>
    <w:uiPriority w:val="99"/>
    <w:semiHidden/>
    <w:unhideWhenUsed/>
    <w:rsid w:val="006B3CE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B3CE3"/>
    <w:rPr>
      <w:rFonts w:ascii="Tahoma" w:hAnsi="Tahoma" w:cs="Tahoma"/>
      <w:sz w:val="16"/>
      <w:szCs w:val="16"/>
    </w:rPr>
  </w:style>
  <w:style w:type="character" w:styleId="Collegamentoipertestuale">
    <w:name w:val="Hyperlink"/>
    <w:basedOn w:val="Carpredefinitoparagrafo"/>
    <w:uiPriority w:val="99"/>
    <w:unhideWhenUsed/>
    <w:rsid w:val="0091747B"/>
    <w:rPr>
      <w:color w:val="0000FF" w:themeColor="hyperlink"/>
      <w:u w:val="single"/>
    </w:rPr>
  </w:style>
  <w:style w:type="paragraph" w:styleId="Paragrafoelenco">
    <w:name w:val="List Paragraph"/>
    <w:basedOn w:val="Normale"/>
    <w:uiPriority w:val="34"/>
    <w:qFormat/>
    <w:rsid w:val="0091747B"/>
    <w:pPr>
      <w:spacing w:after="160" w:line="259" w:lineRule="auto"/>
      <w:ind w:left="720"/>
      <w:contextualSpacing/>
    </w:pPr>
    <w:rPr>
      <w:rFonts w:ascii="Calibri" w:eastAsia="Calibri" w:hAnsi="Calibri"/>
      <w:sz w:val="22"/>
      <w:szCs w:val="22"/>
      <w:lang w:eastAsia="en-US"/>
    </w:rPr>
  </w:style>
  <w:style w:type="paragraph" w:styleId="Nessunaspaziatura">
    <w:name w:val="No Spacing"/>
    <w:uiPriority w:val="1"/>
    <w:qFormat/>
    <w:rsid w:val="00A24A56"/>
    <w:pPr>
      <w:spacing w:after="0" w:line="240" w:lineRule="auto"/>
    </w:pPr>
    <w:rPr>
      <w:rFonts w:ascii="Times New Roman" w:eastAsiaTheme="minorEastAsia"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147542">
      <w:bodyDiv w:val="1"/>
      <w:marLeft w:val="0"/>
      <w:marRight w:val="0"/>
      <w:marTop w:val="0"/>
      <w:marBottom w:val="0"/>
      <w:divBdr>
        <w:top w:val="none" w:sz="0" w:space="0" w:color="auto"/>
        <w:left w:val="none" w:sz="0" w:space="0" w:color="auto"/>
        <w:bottom w:val="none" w:sz="0" w:space="0" w:color="auto"/>
        <w:right w:val="none" w:sz="0" w:space="0" w:color="auto"/>
      </w:divBdr>
    </w:div>
    <w:div w:id="587037292">
      <w:bodyDiv w:val="1"/>
      <w:marLeft w:val="0"/>
      <w:marRight w:val="0"/>
      <w:marTop w:val="0"/>
      <w:marBottom w:val="0"/>
      <w:divBdr>
        <w:top w:val="none" w:sz="0" w:space="0" w:color="auto"/>
        <w:left w:val="none" w:sz="0" w:space="0" w:color="auto"/>
        <w:bottom w:val="none" w:sz="0" w:space="0" w:color="auto"/>
        <w:right w:val="none" w:sz="0" w:space="0" w:color="auto"/>
      </w:divBdr>
    </w:div>
    <w:div w:id="1069424485">
      <w:bodyDiv w:val="1"/>
      <w:marLeft w:val="0"/>
      <w:marRight w:val="0"/>
      <w:marTop w:val="0"/>
      <w:marBottom w:val="0"/>
      <w:divBdr>
        <w:top w:val="none" w:sz="0" w:space="0" w:color="auto"/>
        <w:left w:val="none" w:sz="0" w:space="0" w:color="auto"/>
        <w:bottom w:val="none" w:sz="0" w:space="0" w:color="auto"/>
        <w:right w:val="none" w:sz="0" w:space="0" w:color="auto"/>
      </w:divBdr>
    </w:div>
    <w:div w:id="207056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5C895-9495-4866-9B35-0FA3E1681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590</Words>
  <Characters>3365</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Chiara</dc:creator>
  <cp:lastModifiedBy>Carlo</cp:lastModifiedBy>
  <cp:revision>4</cp:revision>
  <dcterms:created xsi:type="dcterms:W3CDTF">2019-11-18T14:38:00Z</dcterms:created>
  <dcterms:modified xsi:type="dcterms:W3CDTF">2019-11-18T15:17:00Z</dcterms:modified>
</cp:coreProperties>
</file>