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6C0C" w:rsidRDefault="00DF6C0C" w:rsidP="00EF2078">
      <w:pPr>
        <w:jc w:val="both"/>
        <w:rPr>
          <w:rFonts w:asciiTheme="majorHAnsi" w:hAnsiTheme="majorHAnsi" w:cstheme="majorHAnsi"/>
          <w:b/>
          <w:bCs/>
          <w:sz w:val="28"/>
          <w:szCs w:val="28"/>
          <w:lang w:val="it-IT"/>
        </w:rPr>
      </w:pPr>
      <w:r w:rsidRPr="00DF6C0C">
        <w:rPr>
          <w:rFonts w:asciiTheme="majorHAnsi" w:hAnsiTheme="majorHAnsi" w:cstheme="majorHAnsi"/>
          <w:b/>
          <w:bCs/>
          <w:sz w:val="28"/>
          <w:szCs w:val="28"/>
          <w:lang w:val="it-IT"/>
        </w:rPr>
        <w:t xml:space="preserve">PAOLO LINETTI </w:t>
      </w:r>
    </w:p>
    <w:p w:rsidR="00EF2078" w:rsidRPr="00EF2078" w:rsidRDefault="00DF6C0C" w:rsidP="00EF2078">
      <w:pPr>
        <w:jc w:val="both"/>
        <w:rPr>
          <w:rFonts w:asciiTheme="majorHAnsi" w:hAnsiTheme="majorHAnsi" w:cstheme="majorHAnsi"/>
          <w:b/>
          <w:bCs/>
          <w:sz w:val="28"/>
          <w:szCs w:val="28"/>
          <w:lang w:val="it-IT"/>
        </w:rPr>
      </w:pPr>
      <w:r>
        <w:rPr>
          <w:rFonts w:asciiTheme="majorHAnsi" w:hAnsiTheme="majorHAnsi" w:cstheme="majorHAnsi"/>
          <w:b/>
          <w:bCs/>
          <w:sz w:val="28"/>
          <w:szCs w:val="28"/>
          <w:lang w:val="it-IT"/>
        </w:rPr>
        <w:t>Curatore della mostra</w:t>
      </w:r>
    </w:p>
    <w:p w:rsidR="00EF2078" w:rsidRDefault="00EF2078" w:rsidP="00EF2078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</w:p>
    <w:p w:rsidR="00EF2078" w:rsidRPr="00DF6C0C" w:rsidRDefault="00DF6C0C" w:rsidP="00DF6C0C">
      <w:pPr>
        <w:jc w:val="both"/>
        <w:rPr>
          <w:rFonts w:asciiTheme="majorHAnsi" w:hAnsiTheme="majorHAnsi" w:cstheme="majorHAnsi"/>
          <w:i/>
          <w:iCs/>
          <w:sz w:val="28"/>
          <w:szCs w:val="28"/>
          <w:lang w:val="it-IT"/>
        </w:rPr>
      </w:pPr>
      <w:proofErr w:type="spellStart"/>
      <w:r w:rsidRPr="00DF6C0C">
        <w:rPr>
          <w:rFonts w:asciiTheme="majorHAnsi" w:hAnsiTheme="majorHAnsi" w:cstheme="majorHAnsi"/>
          <w:sz w:val="28"/>
          <w:szCs w:val="28"/>
          <w:lang w:val="it-IT"/>
        </w:rPr>
        <w:t>Ukiyo</w:t>
      </w:r>
      <w:proofErr w:type="spellEnd"/>
      <w:r w:rsidRPr="00DF6C0C">
        <w:rPr>
          <w:rFonts w:asciiTheme="majorHAnsi" w:hAnsiTheme="majorHAnsi" w:cstheme="majorHAnsi"/>
          <w:sz w:val="28"/>
          <w:szCs w:val="28"/>
          <w:lang w:val="it-IT"/>
        </w:rPr>
        <w:t>-e</w:t>
      </w:r>
      <w:r w:rsidRPr="00DF6C0C">
        <w:rPr>
          <w:rFonts w:asciiTheme="majorHAnsi" w:hAnsiTheme="majorHAnsi" w:cstheme="majorHAnsi"/>
          <w:i/>
          <w:iCs/>
          <w:sz w:val="28"/>
          <w:szCs w:val="28"/>
          <w:lang w:val="it-IT"/>
        </w:rPr>
        <w:t xml:space="preserve"> sull’ond</w:t>
      </w:r>
      <w:bookmarkStart w:id="0" w:name="_GoBack"/>
      <w:bookmarkEnd w:id="0"/>
      <w:r w:rsidRPr="00DF6C0C">
        <w:rPr>
          <w:rFonts w:asciiTheme="majorHAnsi" w:hAnsiTheme="majorHAnsi" w:cstheme="majorHAnsi"/>
          <w:i/>
          <w:iCs/>
          <w:sz w:val="28"/>
          <w:szCs w:val="28"/>
          <w:lang w:val="it-IT"/>
        </w:rPr>
        <w:t>a</w:t>
      </w:r>
      <w:r>
        <w:rPr>
          <w:rFonts w:asciiTheme="majorHAnsi" w:hAnsiTheme="majorHAnsi" w:cstheme="majorHAnsi"/>
          <w:i/>
          <w:iCs/>
          <w:sz w:val="28"/>
          <w:szCs w:val="28"/>
          <w:lang w:val="it-IT"/>
        </w:rPr>
        <w:t xml:space="preserve"> </w:t>
      </w:r>
      <w:r w:rsidRPr="00DF6C0C">
        <w:rPr>
          <w:rFonts w:asciiTheme="majorHAnsi" w:hAnsiTheme="majorHAnsi" w:cstheme="majorHAnsi"/>
          <w:i/>
          <w:iCs/>
          <w:sz w:val="28"/>
          <w:szCs w:val="28"/>
          <w:lang w:val="it-IT"/>
        </w:rPr>
        <w:t xml:space="preserve">del “mondo </w:t>
      </w:r>
      <w:proofErr w:type="gramStart"/>
      <w:r w:rsidRPr="00DF6C0C">
        <w:rPr>
          <w:rFonts w:asciiTheme="majorHAnsi" w:hAnsiTheme="majorHAnsi" w:cstheme="majorHAnsi"/>
          <w:i/>
          <w:iCs/>
          <w:sz w:val="28"/>
          <w:szCs w:val="28"/>
          <w:lang w:val="it-IT"/>
        </w:rPr>
        <w:t>fluttuante”</w:t>
      </w:r>
      <w:r>
        <w:rPr>
          <w:rFonts w:asciiTheme="majorHAnsi" w:hAnsiTheme="majorHAnsi" w:cstheme="majorHAnsi"/>
          <w:i/>
          <w:iCs/>
          <w:sz w:val="28"/>
          <w:szCs w:val="28"/>
          <w:lang w:val="it-IT"/>
        </w:rPr>
        <w:t xml:space="preserve">  </w:t>
      </w:r>
      <w:r w:rsidRPr="00DF6C0C">
        <w:rPr>
          <w:rFonts w:asciiTheme="majorHAnsi" w:hAnsiTheme="majorHAnsi" w:cstheme="majorHAnsi"/>
          <w:b/>
          <w:bCs/>
          <w:i/>
          <w:iCs/>
          <w:sz w:val="28"/>
          <w:szCs w:val="28"/>
          <w:lang w:val="it-IT"/>
        </w:rPr>
        <w:t>*</w:t>
      </w:r>
      <w:proofErr w:type="gramEnd"/>
    </w:p>
    <w:p w:rsidR="00DF6C0C" w:rsidRDefault="00DF6C0C" w:rsidP="00EF2078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</w:p>
    <w:p w:rsidR="00DF6C0C" w:rsidRDefault="00DF6C0C" w:rsidP="00DF6C0C">
      <w:pPr>
        <w:spacing w:after="120"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DF6C0C">
        <w:rPr>
          <w:rFonts w:asciiTheme="majorHAnsi" w:hAnsiTheme="majorHAnsi" w:cstheme="majorHAnsi"/>
          <w:sz w:val="24"/>
          <w:szCs w:val="24"/>
          <w:lang w:val="it-IT"/>
        </w:rPr>
        <w:t>Il fascino del Giappone, dilagato in Occidente alla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fine del XIX secolo col fenomeno del </w:t>
      </w:r>
      <w:proofErr w:type="spellStart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japonisme</w:t>
      </w:r>
      <w:proofErr w:type="spellEnd"/>
      <w:r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e tuttora vivissimo, deriva anche dall’apparente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contrasto tra l’esistenza contemporanea delle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sussistenti suggestive tradizioni del passato e lo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sviluppo della più moderna tecnologia volta al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futuro.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</w:p>
    <w:p w:rsidR="00DF6C0C" w:rsidRDefault="00DF6C0C" w:rsidP="00DF6C0C">
      <w:pPr>
        <w:spacing w:after="120"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>
        <w:rPr>
          <w:rFonts w:asciiTheme="majorHAnsi" w:hAnsiTheme="majorHAnsi" w:cstheme="majorHAnsi"/>
          <w:sz w:val="24"/>
          <w:szCs w:val="24"/>
          <w:lang w:val="it-IT"/>
        </w:rPr>
        <w:t>(…)</w:t>
      </w:r>
    </w:p>
    <w:p w:rsidR="00DF6C0C" w:rsidRPr="00DF6C0C" w:rsidRDefault="00DF6C0C" w:rsidP="00DF6C0C">
      <w:pPr>
        <w:spacing w:after="120" w:line="240" w:lineRule="auto"/>
        <w:jc w:val="both"/>
        <w:rPr>
          <w:rFonts w:asciiTheme="majorHAnsi" w:hAnsiTheme="majorHAnsi" w:cstheme="majorHAnsi"/>
          <w:i/>
          <w:iCs/>
          <w:sz w:val="24"/>
          <w:szCs w:val="24"/>
          <w:lang w:val="it-IT"/>
        </w:rPr>
      </w:pPr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La rivoluzione dell’</w:t>
      </w:r>
      <w:proofErr w:type="spellStart"/>
      <w:r w:rsidRPr="00DF6C0C">
        <w:rPr>
          <w:rFonts w:asciiTheme="majorHAnsi" w:hAnsiTheme="majorHAnsi" w:cstheme="majorHAnsi"/>
          <w:sz w:val="24"/>
          <w:szCs w:val="24"/>
          <w:lang w:val="it-IT"/>
        </w:rPr>
        <w:t>ukiyo</w:t>
      </w:r>
      <w:proofErr w:type="spellEnd"/>
      <w:r w:rsidRPr="00DF6C0C">
        <w:rPr>
          <w:rFonts w:asciiTheme="majorHAnsi" w:hAnsiTheme="majorHAnsi" w:cstheme="majorHAnsi"/>
          <w:sz w:val="24"/>
          <w:szCs w:val="24"/>
          <w:lang w:val="it-IT"/>
        </w:rPr>
        <w:t>-e</w:t>
      </w:r>
    </w:p>
    <w:p w:rsidR="00DF6C0C" w:rsidRPr="00DF6C0C" w:rsidRDefault="00DF6C0C" w:rsidP="00DF6C0C">
      <w:pPr>
        <w:spacing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DF6C0C">
        <w:rPr>
          <w:rFonts w:asciiTheme="majorHAnsi" w:hAnsiTheme="majorHAnsi" w:cstheme="majorHAnsi"/>
          <w:sz w:val="24"/>
          <w:szCs w:val="24"/>
          <w:lang w:val="it-IT"/>
        </w:rPr>
        <w:t>La xilografia era una tecnica di stampa a rilievo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che consentiva di riprodurre, grazie a una matrice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in legno di ciliegio, un vastissimo numero di copie.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Una stampa di questo tipo era il prodotto di una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équipe composta da editore, disegnatore, incisore 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censore. Il primo commissionava l’opera e valutava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i costi di produzione, il secondo disegnava su un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foglio il modello per l’incisore che realizzava il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negativo del disegno producendo una matrice per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ogni colore, e infine il censore verificava che l’opera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non violasse le rigide normative editoriali e potesse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essere editata e immessa sul mercato.</w:t>
      </w:r>
    </w:p>
    <w:p w:rsidR="00DF6C0C" w:rsidRPr="00DF6C0C" w:rsidRDefault="00DF6C0C" w:rsidP="00DF6C0C">
      <w:pPr>
        <w:spacing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DF6C0C">
        <w:rPr>
          <w:rFonts w:asciiTheme="majorHAnsi" w:hAnsiTheme="majorHAnsi" w:cstheme="majorHAnsi"/>
          <w:sz w:val="24"/>
          <w:szCs w:val="24"/>
          <w:lang w:val="it-IT"/>
        </w:rPr>
        <w:t>Gli artisti specializzati nelle stampe di spettacoli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kabuki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e di ritratti di attori, in breve tempo si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distinsero per saper produrre effetti e artifici che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potessero essere apprezzati anche vedendoli dal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basso quando la locandina era appesa.</w:t>
      </w:r>
    </w:p>
    <w:p w:rsidR="00DF6C0C" w:rsidRPr="00DF6C0C" w:rsidRDefault="00DF6C0C" w:rsidP="00DF6C0C">
      <w:pPr>
        <w:spacing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DF6C0C">
        <w:rPr>
          <w:rFonts w:asciiTheme="majorHAnsi" w:hAnsiTheme="majorHAnsi" w:cstheme="majorHAnsi"/>
          <w:sz w:val="24"/>
          <w:szCs w:val="24"/>
          <w:lang w:val="it-IT"/>
        </w:rPr>
        <w:t>E fu proprio la xilografia giapponese che rese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popolare, ossia accessibile a tutti, l’arte, perché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permetteva anche a persone non ricche di poter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acquistare delle opere al costo equivalente a una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ciotola di zuppa di riso.</w:t>
      </w:r>
    </w:p>
    <w:p w:rsidR="00DF6C0C" w:rsidRPr="00DF6C0C" w:rsidRDefault="00DF6C0C" w:rsidP="00DF6C0C">
      <w:pPr>
        <w:spacing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DF6C0C">
        <w:rPr>
          <w:rFonts w:asciiTheme="majorHAnsi" w:hAnsiTheme="majorHAnsi" w:cstheme="majorHAnsi"/>
          <w:sz w:val="24"/>
          <w:szCs w:val="24"/>
          <w:lang w:val="it-IT"/>
        </w:rPr>
        <w:t>L’</w:t>
      </w:r>
      <w:proofErr w:type="spellStart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ukiyo</w:t>
      </w:r>
      <w:proofErr w:type="spellEnd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 </w:t>
      </w:r>
      <w:r w:rsidRPr="00DF6C0C">
        <w:rPr>
          <w:rFonts w:ascii="MS Gothic" w:eastAsia="MS Gothic" w:hAnsi="MS Gothic" w:cs="MS Gothic" w:hint="eastAsia"/>
          <w:sz w:val="24"/>
          <w:szCs w:val="24"/>
          <w:lang w:val="it-IT"/>
        </w:rPr>
        <w:t>浮世絵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 fu uno stile di vita e una nuova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cultura che iniziò a delinearsi nel periodo Edo,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sviluppando delle tematiche sempre più distintive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col passare dei secoli.</w:t>
      </w:r>
    </w:p>
    <w:p w:rsidR="00DF6C0C" w:rsidRPr="00DF6C0C" w:rsidRDefault="00DF6C0C" w:rsidP="00DF6C0C">
      <w:pPr>
        <w:spacing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proofErr w:type="spellStart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Ukiyo</w:t>
      </w:r>
      <w:proofErr w:type="spellEnd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 </w:t>
      </w:r>
      <w:r w:rsidRPr="00DF6C0C">
        <w:rPr>
          <w:rFonts w:ascii="MS Gothic" w:eastAsia="MS Gothic" w:hAnsi="MS Gothic" w:cs="MS Gothic" w:hint="eastAsia"/>
          <w:sz w:val="24"/>
          <w:szCs w:val="24"/>
          <w:lang w:val="it-IT"/>
        </w:rPr>
        <w:t>憂き世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 è una parola della filosofia buddista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che indica uno stato d’ascetismo volto all’atarassia,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perché il mondo terreno è fallace e illusorio e solo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attraverso il superamento delle emozioni si può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raggiungere l’Illuminazione. Il termine fu usato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per la prima volta dal monaco buddista </w:t>
      </w:r>
      <w:proofErr w:type="spellStart"/>
      <w:r w:rsidRPr="00DF6C0C">
        <w:rPr>
          <w:rFonts w:asciiTheme="majorHAnsi" w:hAnsiTheme="majorHAnsi" w:cstheme="majorHAnsi"/>
          <w:sz w:val="24"/>
          <w:szCs w:val="24"/>
          <w:lang w:val="it-IT"/>
        </w:rPr>
        <w:t>Kyo</w:t>
      </w:r>
      <w:proofErr w:type="spellEnd"/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proofErr w:type="spellStart"/>
      <w:r w:rsidRPr="00DF6C0C">
        <w:rPr>
          <w:rFonts w:asciiTheme="majorHAnsi" w:hAnsiTheme="majorHAnsi" w:cstheme="majorHAnsi"/>
          <w:sz w:val="24"/>
          <w:szCs w:val="24"/>
          <w:lang w:val="it-IT"/>
        </w:rPr>
        <w:t>Toita</w:t>
      </w:r>
      <w:proofErr w:type="spellEnd"/>
      <w:r w:rsidRPr="00DF6C0C">
        <w:rPr>
          <w:rFonts w:asciiTheme="majorHAnsi" w:hAnsiTheme="majorHAnsi" w:cstheme="majorHAnsi"/>
          <w:sz w:val="24"/>
          <w:szCs w:val="24"/>
          <w:lang w:val="it-IT"/>
        </w:rPr>
        <w:t>.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proofErr w:type="spellStart"/>
      <w:r w:rsidRPr="00DF6C0C">
        <w:rPr>
          <w:rFonts w:asciiTheme="majorHAnsi" w:hAnsiTheme="majorHAnsi" w:cstheme="majorHAnsi"/>
          <w:sz w:val="24"/>
          <w:szCs w:val="24"/>
          <w:lang w:val="it-IT"/>
        </w:rPr>
        <w:t>Asai</w:t>
      </w:r>
      <w:proofErr w:type="spellEnd"/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proofErr w:type="spellStart"/>
      <w:r w:rsidRPr="00DF6C0C">
        <w:rPr>
          <w:rFonts w:asciiTheme="majorHAnsi" w:hAnsiTheme="majorHAnsi" w:cstheme="majorHAnsi"/>
          <w:sz w:val="24"/>
          <w:szCs w:val="24"/>
          <w:lang w:val="it-IT"/>
        </w:rPr>
        <w:t>Ryōi</w:t>
      </w:r>
      <w:proofErr w:type="spellEnd"/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, nel suo </w:t>
      </w:r>
      <w:proofErr w:type="spellStart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Ukiyo</w:t>
      </w:r>
      <w:proofErr w:type="spellEnd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 monogatari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(</w:t>
      </w:r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I racconti del</w:t>
      </w:r>
      <w:r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mondo fluttuante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), descrive lo stile di vita dei suoi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concittadini che si dedicavano ai piaceri effimeri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senza preoccuparsi della miseria umana, in questo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modo:</w:t>
      </w:r>
    </w:p>
    <w:p w:rsidR="00DF6C0C" w:rsidRPr="00DF6C0C" w:rsidRDefault="00DF6C0C" w:rsidP="00DF6C0C">
      <w:pPr>
        <w:spacing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DF6C0C">
        <w:rPr>
          <w:rFonts w:asciiTheme="majorHAnsi" w:hAnsiTheme="majorHAnsi" w:cstheme="majorHAnsi"/>
          <w:sz w:val="24"/>
          <w:szCs w:val="24"/>
          <w:lang w:val="it-IT"/>
        </w:rPr>
        <w:t>“Il vivere momento per momento, godere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interamente della luna, della neve, dei fiori di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ciliegio e delle foglie rosse degli aceri, cantare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canzoni, bere </w:t>
      </w:r>
      <w:proofErr w:type="spellStart"/>
      <w:r w:rsidRPr="00DF6C0C">
        <w:rPr>
          <w:rFonts w:asciiTheme="majorHAnsi" w:hAnsiTheme="majorHAnsi" w:cstheme="majorHAnsi"/>
          <w:sz w:val="24"/>
          <w:szCs w:val="24"/>
          <w:lang w:val="it-IT"/>
        </w:rPr>
        <w:t>saké</w:t>
      </w:r>
      <w:proofErr w:type="spellEnd"/>
      <w:r w:rsidRPr="00DF6C0C">
        <w:rPr>
          <w:rFonts w:asciiTheme="majorHAnsi" w:hAnsiTheme="majorHAnsi" w:cstheme="majorHAnsi"/>
          <w:sz w:val="24"/>
          <w:szCs w:val="24"/>
          <w:lang w:val="it-IT"/>
        </w:rPr>
        <w:t>, consolarsi, dimenticandosi la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realtà, non preoccuparsi della miseria che ci sta di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fronte per non farsi scoraggiare, essere come una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zucca vuota che galleggia sulla corrente dell’acqua: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questo io lo chiamo </w:t>
      </w:r>
      <w:proofErr w:type="spellStart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ukiyo</w:t>
      </w:r>
      <w:proofErr w:type="spellEnd"/>
      <w:r w:rsidRPr="00DF6C0C">
        <w:rPr>
          <w:rFonts w:asciiTheme="majorHAnsi" w:hAnsiTheme="majorHAnsi" w:cstheme="majorHAnsi"/>
          <w:sz w:val="24"/>
          <w:szCs w:val="24"/>
          <w:lang w:val="it-IT"/>
        </w:rPr>
        <w:t>”.</w:t>
      </w:r>
    </w:p>
    <w:p w:rsidR="00EF2078" w:rsidRDefault="00DF6C0C" w:rsidP="00DF6C0C">
      <w:pPr>
        <w:spacing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DF6C0C">
        <w:rPr>
          <w:rFonts w:asciiTheme="majorHAnsi" w:hAnsiTheme="majorHAnsi" w:cstheme="majorHAnsi"/>
          <w:sz w:val="24"/>
          <w:szCs w:val="24"/>
          <w:lang w:val="it-IT"/>
        </w:rPr>
        <w:t>La classe borghese recuperò questa parola, ma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scrivendola con degli ideogrammi diversi che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connotavano invece il “mondo fluttuante”, ossia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quel mondo che, in quanto effimero, invitava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a lasciarsi trasportare dalla corrente della vita,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godendo appieno dei piaceri che essa ci offre. Quindi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la filosofia dell’</w:t>
      </w:r>
      <w:proofErr w:type="spellStart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ukiyo</w:t>
      </w:r>
      <w:proofErr w:type="spellEnd"/>
      <w:r w:rsidRPr="00DF6C0C">
        <w:rPr>
          <w:rFonts w:asciiTheme="majorHAnsi" w:hAnsiTheme="majorHAnsi" w:cstheme="majorHAnsi"/>
          <w:sz w:val="24"/>
          <w:szCs w:val="24"/>
          <w:lang w:val="it-IT"/>
        </w:rPr>
        <w:t>, paragonabile per certi versi al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nostro </w:t>
      </w:r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carpe diem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, promuove proprio quei piaceri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che sono temporanei e momentanei. Una frase del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poeta </w:t>
      </w:r>
      <w:proofErr w:type="spellStart"/>
      <w:r w:rsidRPr="00DF6C0C">
        <w:rPr>
          <w:rFonts w:asciiTheme="majorHAnsi" w:hAnsiTheme="majorHAnsi" w:cstheme="majorHAnsi"/>
          <w:sz w:val="24"/>
          <w:szCs w:val="24"/>
          <w:lang w:val="it-IT"/>
        </w:rPr>
        <w:t>Kosuitei</w:t>
      </w:r>
      <w:proofErr w:type="spellEnd"/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proofErr w:type="spellStart"/>
      <w:r w:rsidRPr="00DF6C0C">
        <w:rPr>
          <w:rFonts w:asciiTheme="majorHAnsi" w:hAnsiTheme="majorHAnsi" w:cstheme="majorHAnsi"/>
          <w:sz w:val="24"/>
          <w:szCs w:val="24"/>
          <w:lang w:val="it-IT"/>
        </w:rPr>
        <w:t>Miyako</w:t>
      </w:r>
      <w:proofErr w:type="spellEnd"/>
      <w:r w:rsidRPr="00DF6C0C">
        <w:rPr>
          <w:rFonts w:asciiTheme="majorHAnsi" w:hAnsiTheme="majorHAnsi" w:cstheme="majorHAnsi"/>
          <w:sz w:val="24"/>
          <w:szCs w:val="24"/>
          <w:lang w:val="it-IT"/>
        </w:rPr>
        <w:t>, riportata nell’ultima stampa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conclusiva delle </w:t>
      </w:r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Cinquantatré stazioni del </w:t>
      </w:r>
      <w:proofErr w:type="spellStart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Tōkaidō</w:t>
      </w:r>
      <w:proofErr w:type="spellEnd"/>
      <w:r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di </w:t>
      </w:r>
      <w:proofErr w:type="spellStart"/>
      <w:r w:rsidRPr="00DF6C0C">
        <w:rPr>
          <w:rFonts w:asciiTheme="majorHAnsi" w:hAnsiTheme="majorHAnsi" w:cstheme="majorHAnsi"/>
          <w:sz w:val="24"/>
          <w:szCs w:val="24"/>
          <w:lang w:val="it-IT"/>
        </w:rPr>
        <w:t>Hiroshige</w:t>
      </w:r>
      <w:proofErr w:type="spellEnd"/>
      <w:r w:rsidRPr="00DF6C0C">
        <w:rPr>
          <w:rFonts w:asciiTheme="majorHAnsi" w:hAnsiTheme="majorHAnsi" w:cstheme="majorHAnsi"/>
          <w:sz w:val="24"/>
          <w:szCs w:val="24"/>
          <w:lang w:val="it-IT"/>
        </w:rPr>
        <w:t>, sintetizza mirabilmente questo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atteggiamento: “Domani vuol dire mai!”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La transitorietà è vissuta come l’opportunità di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godere di un attimo che non potrà tornare e un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tema ricorrente è la bellezza della natura in quanto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caduca e mutevole.</w:t>
      </w:r>
    </w:p>
    <w:p w:rsidR="00DF6C0C" w:rsidRPr="00DF6C0C" w:rsidRDefault="00DF6C0C" w:rsidP="00DF6C0C">
      <w:pPr>
        <w:spacing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Il </w:t>
      </w:r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mono no </w:t>
      </w:r>
      <w:proofErr w:type="spellStart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aware</w:t>
      </w:r>
      <w:proofErr w:type="spellEnd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,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ossia quel sentimento che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racchiude romanticismo, nostalgia e ammirazione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per i fenomeni naturali, che può essere percepito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ad esempio vedendo una pioggia di petali di ciliegio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o passeggiando in un bosco di aceri in autunno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inoltrato, quando le foglie rosse danzano nell’aria,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mutò nella sfumatura emotiva. Esso passò da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momento di meditazione sulla transitorietà della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vita a una percezione più edonistica, un invito 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godere costantemente di piaceri momentanei, ma in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ampio numero (il fiore che sboccia, il suono di una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campana in lontananza, la luna piena, la neve che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cade).</w:t>
      </w:r>
    </w:p>
    <w:p w:rsidR="00DF6C0C" w:rsidRPr="00DF6C0C" w:rsidRDefault="00DF6C0C" w:rsidP="00DF6C0C">
      <w:pPr>
        <w:spacing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Simboli per eccellenza del </w:t>
      </w:r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mono no </w:t>
      </w:r>
      <w:proofErr w:type="spellStart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aware</w:t>
      </w:r>
      <w:proofErr w:type="spellEnd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sono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l’</w:t>
      </w:r>
      <w:proofErr w:type="spellStart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hanami</w:t>
      </w:r>
      <w:proofErr w:type="spellEnd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(l’estasi della fioritura di ciliegio) e il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proofErr w:type="spellStart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momiji</w:t>
      </w:r>
      <w:proofErr w:type="spellEnd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(la contemplazione della caduta delle foglie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d’acero).</w:t>
      </w:r>
    </w:p>
    <w:p w:rsidR="00DF6C0C" w:rsidRPr="00DF6C0C" w:rsidRDefault="00DF6C0C" w:rsidP="00DF6C0C">
      <w:pPr>
        <w:spacing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Gli artisti </w:t>
      </w:r>
      <w:proofErr w:type="spellStart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ukiyo</w:t>
      </w:r>
      <w:proofErr w:type="spellEnd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-e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rappresentano ampiamente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questi due momenti, ma le vedute che vengono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ambientate in essi, raffigurano soggetti allegri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e scene di bellezza serena più che malinconica.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Emerge la consapevolezza che i piaceri sono sì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effimeri, ma sono moltissimi e tutti intorno a noi,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tanto da poterne godere costantemente.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Questo si può ampiamente notare nei motivi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decorativi dell’arte </w:t>
      </w:r>
      <w:proofErr w:type="spellStart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mingei</w:t>
      </w:r>
      <w:proofErr w:type="spellEnd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,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figlia anch’essa della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cultura borghese.</w:t>
      </w:r>
    </w:p>
    <w:p w:rsidR="00DF6C0C" w:rsidRPr="00DF6C0C" w:rsidRDefault="00DF6C0C" w:rsidP="00DF6C0C">
      <w:pPr>
        <w:spacing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L’arte </w:t>
      </w:r>
      <w:proofErr w:type="spellStart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mingei</w:t>
      </w:r>
      <w:proofErr w:type="spellEnd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è la produzione di oggetti di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artigianato di uso quotidiano, che devono avere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come caratteristiche identificative la bellezza unita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a funzionalità, resistenza e basso costo. Qualità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che sono lo specchio della classe che la produceva.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Su questi oggetti si possono trovare copiati alla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perfezione gli insetti o i fiori dei quaderni </w:t>
      </w:r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Manga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di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proofErr w:type="spellStart"/>
      <w:r w:rsidRPr="00DF6C0C">
        <w:rPr>
          <w:rFonts w:asciiTheme="majorHAnsi" w:hAnsiTheme="majorHAnsi" w:cstheme="majorHAnsi"/>
          <w:sz w:val="24"/>
          <w:szCs w:val="24"/>
          <w:lang w:val="it-IT"/>
        </w:rPr>
        <w:t>Hokusai</w:t>
      </w:r>
      <w:proofErr w:type="spellEnd"/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proofErr w:type="spellStart"/>
      <w:r w:rsidRPr="00DF6C0C">
        <w:rPr>
          <w:rFonts w:asciiTheme="majorHAnsi" w:hAnsiTheme="majorHAnsi" w:cstheme="majorHAnsi"/>
          <w:sz w:val="24"/>
          <w:szCs w:val="24"/>
          <w:lang w:val="it-IT"/>
        </w:rPr>
        <w:t>Katsushika</w:t>
      </w:r>
      <w:proofErr w:type="spellEnd"/>
      <w:r w:rsidRPr="00DF6C0C">
        <w:rPr>
          <w:rFonts w:asciiTheme="majorHAnsi" w:hAnsiTheme="majorHAnsi" w:cstheme="majorHAnsi"/>
          <w:sz w:val="24"/>
          <w:szCs w:val="24"/>
          <w:lang w:val="it-IT"/>
        </w:rPr>
        <w:t>.</w:t>
      </w:r>
    </w:p>
    <w:p w:rsidR="00DF6C0C" w:rsidRPr="00DF6C0C" w:rsidRDefault="00DF6C0C" w:rsidP="00DF6C0C">
      <w:pPr>
        <w:spacing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DF6C0C">
        <w:rPr>
          <w:rFonts w:asciiTheme="majorHAnsi" w:hAnsiTheme="majorHAnsi" w:cstheme="majorHAnsi"/>
          <w:sz w:val="24"/>
          <w:szCs w:val="24"/>
          <w:lang w:val="it-IT"/>
        </w:rPr>
        <w:t>L’</w:t>
      </w:r>
      <w:proofErr w:type="spellStart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ukiyo</w:t>
      </w:r>
      <w:proofErr w:type="spellEnd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-e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porta alla coscienza dei mercanti che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i concetti di bellezza e di divertimento devono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ritrovarsi proprio in quegli oggetti che sono di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utilizzo quotidiano per poter “vivere costantemente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nel piacere”.</w:t>
      </w:r>
    </w:p>
    <w:p w:rsidR="00DF6C0C" w:rsidRPr="00DF6C0C" w:rsidRDefault="00DF6C0C" w:rsidP="00DF6C0C">
      <w:pPr>
        <w:spacing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DF6C0C">
        <w:rPr>
          <w:rFonts w:asciiTheme="majorHAnsi" w:hAnsiTheme="majorHAnsi" w:cstheme="majorHAnsi"/>
          <w:sz w:val="24"/>
          <w:szCs w:val="24"/>
          <w:lang w:val="it-IT"/>
        </w:rPr>
        <w:t>L’</w:t>
      </w:r>
      <w:proofErr w:type="spellStart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ukiyo</w:t>
      </w:r>
      <w:proofErr w:type="spellEnd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abbraccia oltre il concetto di bello anche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quello di divertimento, scene comiche possono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essere riprodotte su scatole in lacca, scolpite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nell’avorio dei </w:t>
      </w:r>
      <w:proofErr w:type="spellStart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netsuke</w:t>
      </w:r>
      <w:proofErr w:type="spellEnd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(le statuette che servivano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come fermaglio per la cintura) o viste nelle stampe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degli artisti dell’</w:t>
      </w:r>
      <w:proofErr w:type="spellStart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ukiyo</w:t>
      </w:r>
      <w:proofErr w:type="spellEnd"/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-e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. Fra tutti primeggiano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le scene allegoriche di animali o le posture buffe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degli acrobati di </w:t>
      </w:r>
      <w:proofErr w:type="spellStart"/>
      <w:r w:rsidRPr="00DF6C0C">
        <w:rPr>
          <w:rFonts w:asciiTheme="majorHAnsi" w:hAnsiTheme="majorHAnsi" w:cstheme="majorHAnsi"/>
          <w:sz w:val="24"/>
          <w:szCs w:val="24"/>
          <w:lang w:val="it-IT"/>
        </w:rPr>
        <w:t>Hokusai</w:t>
      </w:r>
      <w:proofErr w:type="spellEnd"/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 nei suoi quaderni </w:t>
      </w:r>
      <w:r w:rsidRPr="00DF6C0C">
        <w:rPr>
          <w:rFonts w:asciiTheme="majorHAnsi" w:hAnsiTheme="majorHAnsi" w:cstheme="majorHAnsi"/>
          <w:i/>
          <w:iCs/>
          <w:sz w:val="24"/>
          <w:szCs w:val="24"/>
          <w:lang w:val="it-IT"/>
        </w:rPr>
        <w:t>Manga</w:t>
      </w:r>
      <w:r>
        <w:rPr>
          <w:rFonts w:asciiTheme="majorHAnsi" w:hAnsiTheme="majorHAnsi" w:cstheme="majorHAnsi"/>
          <w:i/>
          <w:iCs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e </w:t>
      </w:r>
      <w:proofErr w:type="spellStart"/>
      <w:r w:rsidRPr="00DF6C0C">
        <w:rPr>
          <w:rFonts w:asciiTheme="majorHAnsi" w:hAnsiTheme="majorHAnsi" w:cstheme="majorHAnsi"/>
          <w:sz w:val="24"/>
          <w:szCs w:val="24"/>
          <w:lang w:val="it-IT"/>
        </w:rPr>
        <w:t>Kuniyoshi</w:t>
      </w:r>
      <w:proofErr w:type="spellEnd"/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proofErr w:type="spellStart"/>
      <w:r w:rsidRPr="00DF6C0C">
        <w:rPr>
          <w:rFonts w:asciiTheme="majorHAnsi" w:hAnsiTheme="majorHAnsi" w:cstheme="majorHAnsi"/>
          <w:sz w:val="24"/>
          <w:szCs w:val="24"/>
          <w:lang w:val="it-IT"/>
        </w:rPr>
        <w:t>Utagawa</w:t>
      </w:r>
      <w:proofErr w:type="spellEnd"/>
      <w:r w:rsidRPr="00DF6C0C">
        <w:rPr>
          <w:rFonts w:asciiTheme="majorHAnsi" w:hAnsiTheme="majorHAnsi" w:cstheme="majorHAnsi"/>
          <w:sz w:val="24"/>
          <w:szCs w:val="24"/>
          <w:lang w:val="it-IT"/>
        </w:rPr>
        <w:t xml:space="preserve"> con i suoi artifici di ombre,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ritratti in primo piano, composti da nudi di persone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(simili alle composizioni di frutta del nostro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Arcimboldo) e scene comiche tratte dalle leggende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popolari.</w:t>
      </w:r>
    </w:p>
    <w:p w:rsidR="00DF6C0C" w:rsidRDefault="00DF6C0C" w:rsidP="00DF6C0C">
      <w:pPr>
        <w:spacing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DF6C0C">
        <w:rPr>
          <w:rFonts w:asciiTheme="majorHAnsi" w:hAnsiTheme="majorHAnsi" w:cstheme="majorHAnsi"/>
          <w:sz w:val="24"/>
          <w:szCs w:val="24"/>
          <w:lang w:val="it-IT"/>
        </w:rPr>
        <w:t>Il divertimento creava una sorta di mutevole, ma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r w:rsidRPr="00DF6C0C">
        <w:rPr>
          <w:rFonts w:asciiTheme="majorHAnsi" w:hAnsiTheme="majorHAnsi" w:cstheme="majorHAnsi"/>
          <w:sz w:val="24"/>
          <w:szCs w:val="24"/>
          <w:lang w:val="it-IT"/>
        </w:rPr>
        <w:t>lunga primavera dell’animo.</w:t>
      </w:r>
    </w:p>
    <w:p w:rsidR="00DF6C0C" w:rsidRDefault="00DF6C0C" w:rsidP="00DF6C0C">
      <w:pPr>
        <w:spacing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</w:p>
    <w:p w:rsidR="00EF2078" w:rsidRPr="00EF2078" w:rsidRDefault="00EF2078" w:rsidP="00DF6C0C">
      <w:pPr>
        <w:spacing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>
        <w:rPr>
          <w:rFonts w:asciiTheme="majorHAnsi" w:hAnsiTheme="majorHAnsi" w:cstheme="majorHAnsi"/>
          <w:sz w:val="24"/>
          <w:szCs w:val="24"/>
          <w:lang w:val="it-IT"/>
        </w:rPr>
        <w:t>Pavia, 11 ottobre 2019</w:t>
      </w:r>
    </w:p>
    <w:p w:rsidR="00EF2078" w:rsidRDefault="00EF2078" w:rsidP="00DF6C0C">
      <w:pPr>
        <w:spacing w:line="240" w:lineRule="auto"/>
        <w:jc w:val="both"/>
        <w:rPr>
          <w:rFonts w:asciiTheme="majorHAnsi" w:hAnsiTheme="majorHAnsi" w:cstheme="majorHAnsi"/>
          <w:sz w:val="24"/>
          <w:szCs w:val="24"/>
          <w:lang w:val="it-IT"/>
        </w:rPr>
      </w:pPr>
    </w:p>
    <w:p w:rsidR="00DF6C0C" w:rsidRPr="00DF6C0C" w:rsidRDefault="00DF6C0C" w:rsidP="00DF6C0C">
      <w:pPr>
        <w:spacing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  <w:lang w:val="it-IT"/>
        </w:rPr>
      </w:pPr>
      <w:r w:rsidRPr="00DF6C0C">
        <w:rPr>
          <w:rFonts w:asciiTheme="majorHAnsi" w:hAnsiTheme="majorHAnsi" w:cstheme="majorHAnsi"/>
          <w:b/>
          <w:bCs/>
          <w:sz w:val="24"/>
          <w:szCs w:val="24"/>
          <w:lang w:val="it-IT"/>
        </w:rPr>
        <w:t>* Estratto dal testo in catalogo Skira</w:t>
      </w:r>
    </w:p>
    <w:sectPr w:rsidR="00DF6C0C" w:rsidRPr="00DF6C0C">
      <w:footerReference w:type="default" r:id="rId6"/>
      <w:headerReference w:type="first" r:id="rId7"/>
      <w:footerReference w:type="first" r:id="rId8"/>
      <w:pgSz w:w="11906" w:h="16838"/>
      <w:pgMar w:top="1440" w:right="1440" w:bottom="1440" w:left="1440" w:header="720" w:footer="720" w:gutter="0"/>
      <w:pgNumType w:start="1"/>
      <w:cols w:space="720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74E" w:rsidRDefault="00EF2078">
      <w:pPr>
        <w:spacing w:line="240" w:lineRule="auto"/>
      </w:pPr>
      <w:r>
        <w:separator/>
      </w:r>
    </w:p>
  </w:endnote>
  <w:endnote w:type="continuationSeparator" w:id="0">
    <w:p w:rsidR="0067074E" w:rsidRDefault="00EF20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PingFang SC">
    <w:charset w:val="88"/>
    <w:family w:val="swiss"/>
    <w:pitch w:val="variable"/>
    <w:sig w:usb0="A00002FF" w:usb1="7ACFFDFB" w:usb2="00000016" w:usb3="00000000" w:csb0="001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C7F" w:rsidRDefault="00EF2078">
    <w:r>
      <w:rPr>
        <w:noProof/>
      </w:rPr>
      <w:drawing>
        <wp:anchor distT="0" distB="0" distL="0" distR="0" simplePos="0" relativeHeight="2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5731510" cy="911860"/>
          <wp:effectExtent l="0" t="0" r="0" b="0"/>
          <wp:wrapSquare wrapText="largest"/>
          <wp:docPr id="2" name="Imag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11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C7F" w:rsidRDefault="00EF2078">
    <w:r>
      <w:rPr>
        <w:noProof/>
      </w:rPr>
      <w:drawing>
        <wp:anchor distT="0" distB="0" distL="0" distR="0" simplePos="0" relativeHeight="3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5731510" cy="911860"/>
          <wp:effectExtent l="0" t="0" r="0" b="0"/>
          <wp:wrapSquare wrapText="largest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11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74E" w:rsidRDefault="00EF2078">
      <w:pPr>
        <w:spacing w:line="240" w:lineRule="auto"/>
      </w:pPr>
      <w:r>
        <w:separator/>
      </w:r>
    </w:p>
  </w:footnote>
  <w:footnote w:type="continuationSeparator" w:id="0">
    <w:p w:rsidR="0067074E" w:rsidRDefault="00EF20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C7F" w:rsidRDefault="00EF2078">
    <w:r>
      <w:rPr>
        <w:noProof/>
      </w:rPr>
      <w:drawing>
        <wp:anchor distT="0" distB="0" distL="0" distR="0" simplePos="0" relativeHeight="4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-37556</wp:posOffset>
          </wp:positionV>
          <wp:extent cx="5731510" cy="1616075"/>
          <wp:effectExtent l="0" t="0" r="0" b="0"/>
          <wp:wrapSquare wrapText="largest"/>
          <wp:docPr id="1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t="21797" b="22155"/>
                  <a:stretch/>
                </pic:blipFill>
                <pic:spPr bwMode="auto">
                  <a:xfrm>
                    <a:off x="0" y="0"/>
                    <a:ext cx="5731510" cy="1616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7F"/>
    <w:rsid w:val="002943A5"/>
    <w:rsid w:val="0067074E"/>
    <w:rsid w:val="00800C7F"/>
    <w:rsid w:val="00DF6C0C"/>
    <w:rsid w:val="00EF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A163DD"/>
  <w15:docId w15:val="{A1BD3BA2-6AD6-417C-B6C2-C354B79EB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Cs w:val="22"/>
        <w:lang w:val="it" w:eastAsia="zh-CN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pPr>
      <w:widowControl w:val="0"/>
      <w:spacing w:line="276" w:lineRule="auto"/>
    </w:pPr>
    <w:rPr>
      <w:sz w:val="22"/>
    </w:rPr>
  </w:style>
  <w:style w:type="paragraph" w:styleId="Titolo1">
    <w:name w:val="heading 1"/>
    <w:basedOn w:val="Normale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itolo2">
    <w:name w:val="heading 2"/>
    <w:basedOn w:val="Normale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itolo3">
    <w:name w:val="heading 3"/>
    <w:basedOn w:val="Normale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itolo6">
    <w:name w:val="heading 6"/>
    <w:basedOn w:val="Normale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customStyle="1" w:styleId="LO-normal">
    <w:name w:val="LO-normal"/>
    <w:qFormat/>
    <w:rPr>
      <w:sz w:val="22"/>
    </w:rPr>
  </w:style>
  <w:style w:type="paragraph" w:styleId="Titolo">
    <w:name w:val="Title"/>
    <w:basedOn w:val="LO-normal"/>
    <w:next w:val="LO-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LO-normal"/>
    <w:next w:val="LO-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dc:description/>
  <cp:lastModifiedBy>Carlo</cp:lastModifiedBy>
  <cp:revision>2</cp:revision>
  <cp:lastPrinted>2019-10-10T08:17:00Z</cp:lastPrinted>
  <dcterms:created xsi:type="dcterms:W3CDTF">2019-10-10T08:28:00Z</dcterms:created>
  <dcterms:modified xsi:type="dcterms:W3CDTF">2019-10-10T08:28:00Z</dcterms:modified>
  <dc:language>it-IT</dc:language>
</cp:coreProperties>
</file>