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FA6A0E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</w:p>
    <w:p w14:paraId="5454FE1F" w14:textId="10A1D661" w:rsidR="00C01793" w:rsidRPr="00C01793" w:rsidRDefault="00C01793" w:rsidP="00C01793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C01793">
        <w:rPr>
          <w:rFonts w:asciiTheme="majorHAnsi" w:hAnsiTheme="majorHAnsi" w:cstheme="majorHAnsi"/>
          <w:b/>
          <w:sz w:val="28"/>
        </w:rPr>
        <w:t>PIETRO DA PASSANO</w:t>
      </w:r>
    </w:p>
    <w:p w14:paraId="25035FE3" w14:textId="5BA5C8D9" w:rsidR="005C3C22" w:rsidRPr="005C3C22" w:rsidRDefault="00C01793" w:rsidP="00C01793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C01793">
        <w:rPr>
          <w:rFonts w:asciiTheme="majorHAnsi" w:hAnsiTheme="majorHAnsi" w:cstheme="majorHAnsi"/>
          <w:b/>
          <w:i/>
          <w:iCs/>
          <w:sz w:val="28"/>
        </w:rPr>
        <w:t>Direttore Palazzo Ducale Fondazione per la Cultura</w:t>
      </w:r>
    </w:p>
    <w:p w14:paraId="6D919052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</w:p>
    <w:p w14:paraId="045A8910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</w:p>
    <w:p w14:paraId="3BA493A6" w14:textId="77DA440E" w:rsidR="00C01793" w:rsidRPr="00C01793" w:rsidRDefault="00C01793" w:rsidP="00C01793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C01793">
        <w:rPr>
          <w:rFonts w:asciiTheme="majorHAnsi" w:hAnsiTheme="majorHAnsi" w:cstheme="majorHAnsi"/>
        </w:rPr>
        <w:t>Apre nel segno di Nelson Mandela, e del suo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messaggio di pace e di fratellanza interrazziale,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la mostra “Da Monet a Bacon. Capolavori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della Johannesburg Art Gallery”, ospitata nel</w:t>
      </w:r>
      <w:r>
        <w:rPr>
          <w:rFonts w:asciiTheme="majorHAnsi" w:hAnsiTheme="majorHAnsi" w:cstheme="majorHAnsi"/>
        </w:rPr>
        <w:t xml:space="preserve"> </w:t>
      </w:r>
      <w:proofErr w:type="spellStart"/>
      <w:r w:rsidRPr="00C01793">
        <w:rPr>
          <w:rFonts w:asciiTheme="majorHAnsi" w:hAnsiTheme="majorHAnsi" w:cstheme="majorHAnsi"/>
        </w:rPr>
        <w:t>Sottoporticato</w:t>
      </w:r>
      <w:proofErr w:type="spellEnd"/>
      <w:r w:rsidRPr="00C01793">
        <w:rPr>
          <w:rFonts w:asciiTheme="majorHAnsi" w:hAnsiTheme="majorHAnsi" w:cstheme="majorHAnsi"/>
        </w:rPr>
        <w:t xml:space="preserve"> di Palazzo Ducale. A cento anni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dalla nascita del politico e attivista, presidente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del Sudafrica dal 1994 al 1999, che insieme al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 xml:space="preserve">predecessore </w:t>
      </w:r>
      <w:proofErr w:type="spellStart"/>
      <w:r w:rsidRPr="00C01793">
        <w:rPr>
          <w:rFonts w:asciiTheme="majorHAnsi" w:hAnsiTheme="majorHAnsi" w:cstheme="majorHAnsi"/>
        </w:rPr>
        <w:t>Frederik</w:t>
      </w:r>
      <w:proofErr w:type="spellEnd"/>
      <w:r w:rsidRPr="00C01793">
        <w:rPr>
          <w:rFonts w:asciiTheme="majorHAnsi" w:hAnsiTheme="majorHAnsi" w:cstheme="majorHAnsi"/>
        </w:rPr>
        <w:t xml:space="preserve"> de </w:t>
      </w:r>
      <w:proofErr w:type="spellStart"/>
      <w:r w:rsidRPr="00C01793">
        <w:rPr>
          <w:rFonts w:asciiTheme="majorHAnsi" w:hAnsiTheme="majorHAnsi" w:cstheme="majorHAnsi"/>
        </w:rPr>
        <w:t>Klerk</w:t>
      </w:r>
      <w:proofErr w:type="spellEnd"/>
      <w:r w:rsidRPr="00C01793">
        <w:rPr>
          <w:rFonts w:asciiTheme="majorHAnsi" w:hAnsiTheme="majorHAnsi" w:cstheme="majorHAnsi"/>
        </w:rPr>
        <w:t xml:space="preserve"> sancì la fine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dell’apartheid, il suo pensiero e la sua strenua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lotta contro il razzismo sono, infatti, ancora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quanto mai attuali e trovano un intenso 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significativo veicolo di diffusione nei valori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universali dell’arte.</w:t>
      </w:r>
    </w:p>
    <w:p w14:paraId="3CB0E48D" w14:textId="735106CA" w:rsidR="00C01793" w:rsidRPr="00C01793" w:rsidRDefault="00C01793" w:rsidP="00C01793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C01793">
        <w:rPr>
          <w:rFonts w:asciiTheme="majorHAnsi" w:hAnsiTheme="majorHAnsi" w:cstheme="majorHAnsi"/>
        </w:rPr>
        <w:t>Ed è proprio dalla nazione per la quale combatté,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in favore dei diritti di giustizia e uguaglianza, che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arriva questa ricca selezione di opere, provenienti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da una tra le più prestigiose istituzioni artistiche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africane: la Johannesburg Art Gallery che, aperta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al pubblico nel 1910 grazie alla filantropica azione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di Lady Florence Phillips, vanta una ricchissima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collezione di arte del XIX e del XX secolo.</w:t>
      </w:r>
    </w:p>
    <w:p w14:paraId="4052A41D" w14:textId="4BF4CBAC" w:rsidR="00C01793" w:rsidRPr="00C01793" w:rsidRDefault="00C01793" w:rsidP="00C01793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C01793">
        <w:rPr>
          <w:rFonts w:asciiTheme="majorHAnsi" w:hAnsiTheme="majorHAnsi" w:cstheme="majorHAnsi"/>
        </w:rPr>
        <w:t>Le oltre cinquanta opere selezionate per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l’esposizione, che segna una nuova tappa della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collaborazione tra ViDi e Palazzo Ducale,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offrono, attraverso un ampio ventaglio di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tecniche artistiche (oli, acquerelli e grafiche), una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ricca documentazione sulle principali correnti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artistiche dell’epoca contemporanea. A fianco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delle principali esperienze inglesi e francesi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dell’Ottocento e dei protagonisti delle avanguardie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del Novecento (Mati</w:t>
      </w:r>
      <w:bookmarkStart w:id="0" w:name="_GoBack"/>
      <w:bookmarkEnd w:id="0"/>
      <w:r w:rsidRPr="00C01793">
        <w:rPr>
          <w:rFonts w:asciiTheme="majorHAnsi" w:hAnsiTheme="majorHAnsi" w:cstheme="majorHAnsi"/>
        </w:rPr>
        <w:t>sse, Picasso, Bacon,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Lichtenstein e Warhol) saranno presenti in mostra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le opere di alcuni preminenti artisti sudafricani: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 xml:space="preserve">Maggie </w:t>
      </w:r>
      <w:proofErr w:type="spellStart"/>
      <w:r w:rsidRPr="00C01793">
        <w:rPr>
          <w:rFonts w:asciiTheme="majorHAnsi" w:hAnsiTheme="majorHAnsi" w:cstheme="majorHAnsi"/>
        </w:rPr>
        <w:t>Laubser</w:t>
      </w:r>
      <w:proofErr w:type="spellEnd"/>
      <w:r w:rsidRPr="00C01793">
        <w:rPr>
          <w:rFonts w:asciiTheme="majorHAnsi" w:hAnsiTheme="majorHAnsi" w:cstheme="majorHAnsi"/>
        </w:rPr>
        <w:t>, esponente della locale corrente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 xml:space="preserve">espressionista, e i pittori Maud </w:t>
      </w:r>
      <w:proofErr w:type="spellStart"/>
      <w:r w:rsidRPr="00C01793">
        <w:rPr>
          <w:rFonts w:asciiTheme="majorHAnsi" w:hAnsiTheme="majorHAnsi" w:cstheme="majorHAnsi"/>
        </w:rPr>
        <w:t>Summer</w:t>
      </w:r>
      <w:proofErr w:type="spellEnd"/>
      <w:r w:rsidRPr="00C01793">
        <w:rPr>
          <w:rFonts w:asciiTheme="majorHAnsi" w:hAnsiTheme="majorHAnsi" w:cstheme="majorHAnsi"/>
        </w:rPr>
        <w:t xml:space="preserve">, </w:t>
      </w:r>
      <w:proofErr w:type="spellStart"/>
      <w:r w:rsidRPr="00C01793">
        <w:rPr>
          <w:rFonts w:asciiTheme="majorHAnsi" w:hAnsiTheme="majorHAnsi" w:cstheme="majorHAnsi"/>
        </w:rPr>
        <w:t>Selby</w:t>
      </w:r>
      <w:proofErr w:type="spellEnd"/>
      <w:r>
        <w:rPr>
          <w:rFonts w:asciiTheme="majorHAnsi" w:hAnsiTheme="majorHAnsi" w:cstheme="majorHAnsi"/>
        </w:rPr>
        <w:t xml:space="preserve"> </w:t>
      </w:r>
      <w:proofErr w:type="spellStart"/>
      <w:r w:rsidRPr="00C01793">
        <w:rPr>
          <w:rFonts w:asciiTheme="majorHAnsi" w:hAnsiTheme="majorHAnsi" w:cstheme="majorHAnsi"/>
        </w:rPr>
        <w:t>Mvusi</w:t>
      </w:r>
      <w:proofErr w:type="spellEnd"/>
      <w:r w:rsidRPr="00C01793">
        <w:rPr>
          <w:rFonts w:asciiTheme="majorHAnsi" w:hAnsiTheme="majorHAnsi" w:cstheme="majorHAnsi"/>
        </w:rPr>
        <w:t xml:space="preserve"> e George </w:t>
      </w:r>
      <w:proofErr w:type="spellStart"/>
      <w:r w:rsidRPr="00C01793">
        <w:rPr>
          <w:rFonts w:asciiTheme="majorHAnsi" w:hAnsiTheme="majorHAnsi" w:cstheme="majorHAnsi"/>
        </w:rPr>
        <w:t>Pemba</w:t>
      </w:r>
      <w:proofErr w:type="spellEnd"/>
      <w:r w:rsidRPr="00C01793">
        <w:rPr>
          <w:rFonts w:asciiTheme="majorHAnsi" w:hAnsiTheme="majorHAnsi" w:cstheme="majorHAnsi"/>
        </w:rPr>
        <w:t>, tutti connotati da un forte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impegno sociale.</w:t>
      </w:r>
    </w:p>
    <w:p w14:paraId="03C9B2F8" w14:textId="7AF3CCF5" w:rsidR="005C3C22" w:rsidRDefault="00C01793" w:rsidP="00C01793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C01793">
        <w:rPr>
          <w:rFonts w:asciiTheme="majorHAnsi" w:hAnsiTheme="majorHAnsi" w:cstheme="majorHAnsi"/>
        </w:rPr>
        <w:t>Portando avanti un programma espositivo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focalizzato sulla riscoperta delle collezioni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artistiche dei grandi musei internazionali e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avviato nel 2015 con l’esposizione “I capolavori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 xml:space="preserve">del Detroit </w:t>
      </w:r>
      <w:proofErr w:type="spellStart"/>
      <w:r w:rsidRPr="00C01793">
        <w:rPr>
          <w:rFonts w:asciiTheme="majorHAnsi" w:hAnsiTheme="majorHAnsi" w:cstheme="majorHAnsi"/>
        </w:rPr>
        <w:t>Institute</w:t>
      </w:r>
      <w:proofErr w:type="spellEnd"/>
      <w:r w:rsidRPr="00C01793">
        <w:rPr>
          <w:rFonts w:asciiTheme="majorHAnsi" w:hAnsiTheme="majorHAnsi" w:cstheme="majorHAnsi"/>
        </w:rPr>
        <w:t xml:space="preserve"> of </w:t>
      </w:r>
      <w:proofErr w:type="spellStart"/>
      <w:r w:rsidRPr="00C01793">
        <w:rPr>
          <w:rFonts w:asciiTheme="majorHAnsi" w:hAnsiTheme="majorHAnsi" w:cstheme="majorHAnsi"/>
        </w:rPr>
        <w:t>Arts</w:t>
      </w:r>
      <w:proofErr w:type="spellEnd"/>
      <w:r w:rsidRPr="00C01793">
        <w:rPr>
          <w:rFonts w:asciiTheme="majorHAnsi" w:hAnsiTheme="majorHAnsi" w:cstheme="majorHAnsi"/>
        </w:rPr>
        <w:t>”, la mostra dedicata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alle opere della Johannesburg Art Gallery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offrirà dunque ai visitatori (anche ai più piccoli,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privilegiati da un esclusivo percorso didattico) non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solo l’opportunità di ammirare alcune tra le più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importanti testimonianze dell’arte contemporanea,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ma anche di accostarsi alla complessa realtà</w:t>
      </w:r>
      <w:r>
        <w:rPr>
          <w:rFonts w:asciiTheme="majorHAnsi" w:hAnsiTheme="majorHAnsi" w:cstheme="majorHAnsi"/>
        </w:rPr>
        <w:t xml:space="preserve"> </w:t>
      </w:r>
      <w:r w:rsidRPr="00C01793">
        <w:rPr>
          <w:rFonts w:asciiTheme="majorHAnsi" w:hAnsiTheme="majorHAnsi" w:cstheme="majorHAnsi"/>
        </w:rPr>
        <w:t>politica e sociale del Sudafrica.</w:t>
      </w:r>
    </w:p>
    <w:p w14:paraId="55A5ABCE" w14:textId="77777777" w:rsidR="00F7696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</w:p>
    <w:p w14:paraId="6C32A284" w14:textId="15336D72" w:rsidR="005C3C22" w:rsidRP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Genova, 16 novembre 2018</w:t>
      </w:r>
    </w:p>
    <w:sectPr w:rsidR="005C3C22" w:rsidRPr="005C3C22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134" w:bottom="681" w:left="1134" w:header="708" w:footer="57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89A5AD" w14:textId="77777777" w:rsidR="00951561" w:rsidRDefault="00951561">
      <w:r>
        <w:separator/>
      </w:r>
    </w:p>
  </w:endnote>
  <w:endnote w:type="continuationSeparator" w:id="0">
    <w:p w14:paraId="56CE10F7" w14:textId="77777777" w:rsidR="00951561" w:rsidRDefault="00951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Songti SC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;ＭＳ 明朝">
    <w:altName w:val="MS PMincho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Liberation Sans;Arial">
    <w:altName w:val="Times New Roman"/>
    <w:panose1 w:val="00000000000000000000"/>
    <w:charset w:val="00"/>
    <w:family w:val="roman"/>
    <w:notTrueType/>
    <w:pitch w:val="default"/>
  </w:font>
  <w:font w:name="PingFang SC"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ED6291" w14:textId="77777777" w:rsidR="00951561" w:rsidRDefault="00951561">
    <w:pPr>
      <w:pStyle w:val="Pidipagina1"/>
      <w:ind w:left="-1134"/>
      <w:rPr>
        <w:rFonts w:eastAsia="Cambria"/>
      </w:rPr>
    </w:pPr>
    <w:r w:rsidRPr="00951561">
      <w:rPr>
        <w:noProof/>
        <w:lang w:eastAsia="it-IT"/>
      </w:rPr>
      <w:drawing>
        <wp:anchor distT="0" distB="0" distL="114935" distR="114935" simplePos="0" relativeHeight="251660288" behindDoc="0" locked="0" layoutInCell="1" allowOverlap="1" wp14:anchorId="002C65C5" wp14:editId="4248DB82">
          <wp:simplePos x="0" y="0"/>
          <wp:positionH relativeFrom="margin">
            <wp:posOffset>-114300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4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eastAsia="Cambr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C40DEE" w14:textId="77777777" w:rsidR="00951561" w:rsidRDefault="00951561">
    <w:pPr>
      <w:pStyle w:val="Pidipagina1"/>
      <w:rPr>
        <w:lang w:eastAsia="it-IT"/>
      </w:rPr>
    </w:pPr>
    <w:r>
      <w:rPr>
        <w:noProof/>
        <w:lang w:eastAsia="it-IT"/>
      </w:rPr>
      <w:drawing>
        <wp:anchor distT="0" distB="0" distL="114935" distR="114935" simplePos="0" relativeHeight="3" behindDoc="0" locked="0" layoutInCell="1" allowOverlap="1" wp14:anchorId="05D685A7" wp14:editId="11D211E4">
          <wp:simplePos x="0" y="0"/>
          <wp:positionH relativeFrom="margin">
            <wp:posOffset>-88900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2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FD6BA2" w14:textId="77777777" w:rsidR="00951561" w:rsidRDefault="00951561">
      <w:r>
        <w:separator/>
      </w:r>
    </w:p>
  </w:footnote>
  <w:footnote w:type="continuationSeparator" w:id="0">
    <w:p w14:paraId="58C98D14" w14:textId="77777777" w:rsidR="00951561" w:rsidRDefault="009515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6000E8" w14:textId="77777777" w:rsidR="00951561" w:rsidRPr="00951561" w:rsidRDefault="00951561" w:rsidP="00951561">
    <w:pPr>
      <w:pStyle w:val="Intestazione"/>
    </w:pPr>
    <w:r w:rsidRPr="00951561">
      <w:rPr>
        <w:noProof/>
        <w:lang w:eastAsia="it-IT"/>
      </w:rPr>
      <w:drawing>
        <wp:anchor distT="0" distB="0" distL="0" distR="0" simplePos="0" relativeHeight="251656704" behindDoc="0" locked="0" layoutInCell="1" allowOverlap="1" wp14:anchorId="0B7526C1" wp14:editId="16B4C5D8">
          <wp:simplePos x="0" y="0"/>
          <wp:positionH relativeFrom="column">
            <wp:posOffset>0</wp:posOffset>
          </wp:positionH>
          <wp:positionV relativeFrom="paragraph">
            <wp:posOffset>-121285</wp:posOffset>
          </wp:positionV>
          <wp:extent cx="6119495" cy="2414905"/>
          <wp:effectExtent l="0" t="0" r="0" b="0"/>
          <wp:wrapSquare wrapText="largest"/>
          <wp:docPr id="3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D15F34" w14:textId="77777777" w:rsidR="00951561" w:rsidRDefault="00951561">
    <w:pPr>
      <w:pStyle w:val="Intestazione1"/>
      <w:rPr>
        <w:lang w:eastAsia="it-IT"/>
      </w:rPr>
    </w:pPr>
    <w:r>
      <w:rPr>
        <w:noProof/>
        <w:lang w:eastAsia="it-IT"/>
      </w:rPr>
      <w:drawing>
        <wp:anchor distT="0" distB="0" distL="0" distR="0" simplePos="0" relativeHeight="2" behindDoc="0" locked="0" layoutInCell="1" allowOverlap="1" wp14:anchorId="0019D2C3" wp14:editId="79B73E1B">
          <wp:simplePos x="0" y="0"/>
          <wp:positionH relativeFrom="column">
            <wp:align>center</wp:align>
          </wp:positionH>
          <wp:positionV relativeFrom="paragraph">
            <wp:posOffset>1270</wp:posOffset>
          </wp:positionV>
          <wp:extent cx="6119495" cy="2414905"/>
          <wp:effectExtent l="0" t="0" r="0" b="0"/>
          <wp:wrapSquare wrapText="largest"/>
          <wp:docPr id="1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25F"/>
    <w:rsid w:val="003B38C1"/>
    <w:rsid w:val="005C3C22"/>
    <w:rsid w:val="006425D9"/>
    <w:rsid w:val="00951561"/>
    <w:rsid w:val="00BD12F9"/>
    <w:rsid w:val="00C01793"/>
    <w:rsid w:val="00D13A74"/>
    <w:rsid w:val="00D24EF6"/>
    <w:rsid w:val="00E1525F"/>
    <w:rsid w:val="00EC0488"/>
    <w:rsid w:val="00F76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455D8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89FB447-AD61-4327-AEBE-A8E90E5D6E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351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Vidi</Company>
  <LinksUpToDate>false</LinksUpToDate>
  <CharactersWithSpaces>2353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oem oem</dc:creator>
  <dc:description/>
  <cp:lastModifiedBy>Carlo Ghielmetti</cp:lastModifiedBy>
  <cp:revision>2</cp:revision>
  <cp:lastPrinted>2018-03-14T18:05:00Z</cp:lastPrinted>
  <dcterms:created xsi:type="dcterms:W3CDTF">2018-11-13T10:48:00Z</dcterms:created>
  <dcterms:modified xsi:type="dcterms:W3CDTF">2018-11-13T10:48:00Z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Vidi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