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33D84" w14:textId="77777777" w:rsidR="00BA48A6" w:rsidRPr="00A54363" w:rsidRDefault="00BA48A6" w:rsidP="00BA48A6">
      <w:pPr>
        <w:spacing w:after="0" w:line="240" w:lineRule="auto"/>
        <w:rPr>
          <w:rFonts w:cstheme="minorHAnsi"/>
          <w:b/>
          <w:bCs/>
          <w:iCs/>
          <w:color w:val="000000"/>
          <w:sz w:val="28"/>
          <w:szCs w:val="24"/>
          <w:lang w:eastAsia="it-IT"/>
        </w:rPr>
      </w:pPr>
      <w:r w:rsidRPr="00CB7A5C">
        <w:rPr>
          <w:rFonts w:cstheme="minorHAnsi"/>
          <w:b/>
          <w:bCs/>
          <w:iCs/>
          <w:color w:val="000000"/>
          <w:sz w:val="28"/>
          <w:szCs w:val="24"/>
          <w:lang w:eastAsia="it-IT"/>
        </w:rPr>
        <w:t>ANNALISA PERISSA TORRINI</w:t>
      </w:r>
    </w:p>
    <w:p w14:paraId="447BD80E" w14:textId="77777777" w:rsidR="00BA48A6" w:rsidRPr="00A54363" w:rsidRDefault="00BA48A6" w:rsidP="00BA48A6">
      <w:pPr>
        <w:spacing w:after="0" w:line="240" w:lineRule="auto"/>
        <w:rPr>
          <w:rFonts w:cstheme="minorHAnsi"/>
          <w:bCs/>
          <w:iCs/>
          <w:color w:val="000000"/>
          <w:sz w:val="28"/>
          <w:szCs w:val="24"/>
          <w:lang w:eastAsia="it-IT"/>
        </w:rPr>
      </w:pPr>
      <w:r>
        <w:rPr>
          <w:rFonts w:cstheme="minorHAnsi"/>
          <w:bCs/>
          <w:iCs/>
          <w:color w:val="000000"/>
          <w:sz w:val="28"/>
          <w:szCs w:val="24"/>
          <w:lang w:eastAsia="it-IT"/>
        </w:rPr>
        <w:t>Curatrice della mostra</w:t>
      </w:r>
    </w:p>
    <w:p w14:paraId="5E1C6887" w14:textId="77777777" w:rsidR="00BA48A6" w:rsidRDefault="00BA48A6" w:rsidP="00BA48A6">
      <w:pPr>
        <w:rPr>
          <w:rFonts w:cstheme="minorHAnsi"/>
          <w:bCs/>
          <w:iCs/>
          <w:color w:val="000000"/>
          <w:sz w:val="24"/>
          <w:szCs w:val="24"/>
          <w:lang w:eastAsia="it-IT"/>
        </w:rPr>
      </w:pPr>
    </w:p>
    <w:p w14:paraId="02E2DBE9" w14:textId="77777777" w:rsidR="00BA48A6" w:rsidRPr="00DB68E9" w:rsidRDefault="00BA48A6" w:rsidP="00BA48A6">
      <w:pPr>
        <w:rPr>
          <w:rFonts w:cstheme="minorHAnsi"/>
          <w:bCs/>
          <w:iCs/>
          <w:color w:val="000000"/>
          <w:sz w:val="28"/>
          <w:szCs w:val="24"/>
          <w:lang w:eastAsia="it-IT"/>
        </w:rPr>
      </w:pPr>
      <w:r w:rsidRPr="00CB7A5C">
        <w:rPr>
          <w:rFonts w:cstheme="minorHAnsi"/>
          <w:bCs/>
          <w:i/>
          <w:iCs/>
          <w:color w:val="000000"/>
          <w:sz w:val="28"/>
          <w:szCs w:val="24"/>
          <w:lang w:eastAsia="it-IT"/>
        </w:rPr>
        <w:t>Intorno all’</w:t>
      </w:r>
      <w:r w:rsidRPr="00CB7A5C">
        <w:rPr>
          <w:rFonts w:cstheme="minorHAnsi"/>
          <w:bCs/>
          <w:iCs/>
          <w:color w:val="000000"/>
          <w:sz w:val="28"/>
          <w:szCs w:val="24"/>
          <w:lang w:eastAsia="it-IT"/>
        </w:rPr>
        <w:t>Uomo Vitruviano</w:t>
      </w:r>
      <w:r>
        <w:rPr>
          <w:rFonts w:cstheme="minorHAnsi"/>
          <w:bCs/>
          <w:iCs/>
          <w:color w:val="000000"/>
          <w:sz w:val="28"/>
          <w:szCs w:val="24"/>
          <w:lang w:eastAsia="it-IT"/>
        </w:rPr>
        <w:t xml:space="preserve">  </w:t>
      </w:r>
      <w:r w:rsidRPr="005C0844">
        <w:rPr>
          <w:rFonts w:cstheme="minorHAnsi"/>
          <w:b/>
          <w:bCs/>
          <w:iCs/>
          <w:color w:val="000000"/>
          <w:sz w:val="28"/>
          <w:szCs w:val="24"/>
          <w:lang w:eastAsia="it-IT"/>
        </w:rPr>
        <w:t>*</w:t>
      </w:r>
    </w:p>
    <w:p w14:paraId="541B3D74" w14:textId="77777777" w:rsidR="00BA48A6" w:rsidRPr="00E202FE" w:rsidRDefault="00BA48A6" w:rsidP="00BA48A6">
      <w:pPr>
        <w:spacing w:after="0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Riprendendo l’immagine simbolica dell’uomo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come specchio dell’universo, Leonardo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si inserisce perfettamente nella corrente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neoplatonica, accogliendo la visione del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mondo rinascimentale elaborata nella Grecia classica,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secondo cui il mondo è </w:t>
      </w:r>
      <w:r>
        <w:rPr>
          <w:rFonts w:ascii="Symbol" w:hAnsi="Symbol" w:cstheme="minorHAnsi"/>
          <w:bCs/>
          <w:iCs/>
          <w:color w:val="000000"/>
          <w:sz w:val="24"/>
          <w:szCs w:val="24"/>
          <w:lang w:eastAsia="it-IT"/>
        </w:rPr>
        <w:t></w:t>
      </w:r>
      <w:r>
        <w:rPr>
          <w:rFonts w:ascii="Calibri" w:hAnsi="Calibri" w:cs="Calibri"/>
          <w:bCs/>
          <w:iCs/>
          <w:color w:val="000000"/>
          <w:sz w:val="24"/>
          <w:szCs w:val="24"/>
          <w:lang w:eastAsia="it-IT"/>
        </w:rPr>
        <w:t>ó</w:t>
      </w:r>
      <w:r>
        <w:rPr>
          <w:rFonts w:ascii="Symbol" w:hAnsi="Symbol" w:cstheme="minorHAnsi"/>
          <w:bCs/>
          <w:iCs/>
          <w:color w:val="000000"/>
          <w:sz w:val="24"/>
          <w:szCs w:val="24"/>
          <w:lang w:eastAsia="it-IT"/>
        </w:rPr>
        <w:t></w:t>
      </w:r>
      <w:r>
        <w:rPr>
          <w:rFonts w:ascii="Symbol" w:hAnsi="Symbol" w:cstheme="minorHAnsi"/>
          <w:bCs/>
          <w:iCs/>
          <w:color w:val="000000"/>
          <w:sz w:val="24"/>
          <w:szCs w:val="24"/>
          <w:lang w:eastAsia="it-IT"/>
        </w:rPr>
        <w:t></w:t>
      </w:r>
      <w:r>
        <w:rPr>
          <w:rFonts w:ascii="Symbol" w:hAnsi="Symbol" w:cstheme="minorHAnsi"/>
          <w:bCs/>
          <w:iCs/>
          <w:color w:val="000000"/>
          <w:sz w:val="24"/>
          <w:szCs w:val="24"/>
          <w:lang w:eastAsia="it-IT"/>
        </w:rPr>
        <w:t></w:t>
      </w:r>
      <w:r>
        <w:rPr>
          <w:rFonts w:ascii="Symbol" w:hAnsi="Symbol" w:cstheme="minorHAnsi"/>
          <w:bCs/>
          <w:iCs/>
          <w:color w:val="000000"/>
          <w:sz w:val="24"/>
          <w:szCs w:val="24"/>
          <w:lang w:eastAsia="it-IT"/>
        </w:rPr>
        <w:t></w:t>
      </w:r>
      <w:r>
        <w:rPr>
          <w:rFonts w:ascii="Symbol" w:hAnsi="Symbol" w:cstheme="minorHAnsi"/>
          <w:bCs/>
          <w:iCs/>
          <w:color w:val="000000"/>
          <w:sz w:val="24"/>
          <w:szCs w:val="24"/>
          <w:lang w:eastAsia="it-IT"/>
        </w:rPr>
        <w:t>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(universo), espressa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già nel </w:t>
      </w:r>
      <w:proofErr w:type="spellStart"/>
      <w:r w:rsidRPr="00CB7A5C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Timeo</w:t>
      </w:r>
      <w:proofErr w:type="spellEnd"/>
      <w:r w:rsidRPr="00CB7A5C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da Platone, da Seneca e da Tolomeo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nella </w:t>
      </w:r>
      <w:r w:rsidRPr="00CB7A5C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Cosmografia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, testo che Leonardo possiede e cita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nel </w:t>
      </w:r>
      <w:r w:rsidRPr="00CB7A5C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Trattato di anatomia: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“La cosmografia del minor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mondo […]”. La teoria che l’universo è un grande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uomo e l’uomo è un piccolo universo è già presente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nell’esoterismo arabo, arricchito poi, nel Medioevo,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di elementi spirituali ed ermetici. L’analogia tra 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due mondi trova due precursori, Brunetto Latini 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Niccolò Cusano. Il primo, nel </w:t>
      </w:r>
      <w:proofErr w:type="spellStart"/>
      <w:r w:rsidRPr="00CB7A5C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Trésor</w:t>
      </w:r>
      <w:proofErr w:type="spellEnd"/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, afferma che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la terra ha un’anima che abita in fondo al mare 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che le maree sono il respiro del grande corpo della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terra. Il secondo parla della terra come un animale,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con le foreste come pelo. Molto simile anche la descrizione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di Marsilio </w:t>
      </w:r>
      <w:proofErr w:type="spellStart"/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Ficino</w:t>
      </w:r>
      <w:proofErr w:type="spellEnd"/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: “La vita del mondo […]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si propaga nelle erbe e negli alberi, quasi peli del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suo corpo e capelli; e poi nelle pietre e nei metalli,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quasi denti e ossa” in cui nell’uomo prende forma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l’idea dell’identità tra cielo e terra e tra corpo e anima,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detta </w:t>
      </w:r>
      <w:proofErr w:type="spellStart"/>
      <w:r w:rsidRPr="00CB7A5C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spiritus</w:t>
      </w:r>
      <w:proofErr w:type="spellEnd"/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. È a </w:t>
      </w:r>
      <w:proofErr w:type="spellStart"/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Ficino</w:t>
      </w:r>
      <w:proofErr w:type="spellEnd"/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che, nel 1463, Cosimo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il Vecchio affida il compito di tradurre dal greco, da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un manoscritto acquistato poi da Poliziano e ora alla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Laurenziana (71,33), prima Ermete Trismegisto 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poi Platone. Nella sua </w:t>
      </w:r>
      <w:proofErr w:type="spellStart"/>
      <w:r w:rsidRPr="00CB7A5C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Theologia</w:t>
      </w:r>
      <w:proofErr w:type="spellEnd"/>
      <w:r w:rsidRPr="00CB7A5C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platonica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, pubblicata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nel 1482, il medico, filosofo e letterato si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dichiara convinto del valore dell’ermetismo, fonte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della verità rivelata: sotto il mistero ermetico sta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ogni forma di sapere, che fornisce le conoscenze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per intervenire sulla realtà; quello che anche Pico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della Mirandola, in possesso di una copia manoscritta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del </w:t>
      </w:r>
      <w:proofErr w:type="spellStart"/>
      <w:r w:rsidRPr="00CB7A5C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Picatrix</w:t>
      </w:r>
      <w:proofErr w:type="spellEnd"/>
      <w:r w:rsidRPr="00CB7A5C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</w:t>
      </w: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– nome latino di un testo arabo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di magia di autore ignoto (</w:t>
      </w:r>
      <w:proofErr w:type="spellStart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Ghayat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Al-</w:t>
      </w:r>
      <w:proofErr w:type="spellStart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Hakim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) – accetterà,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cioè la magia come atto pratico della scienza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della natura: “Chi non si affatica nelle scienze, è difettoso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e di scarsa autorità, e per conseguenza non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deve dirsi uomo […]: attraverso la scienza l’uomo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fa miracoli, comprende tutto […]”, può salire verso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il divino e abbassarsi verso gli animali, “può farsi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tutto, e per questo si chiama piccolo mondo (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minor</w:t>
      </w:r>
      <w:r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</w:t>
      </w:r>
      <w:proofErr w:type="spellStart"/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mundus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)”, perciò tutto quello che è contenuto nel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mondo maggiore, lo è in quello minore. La prima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edizione del </w:t>
      </w:r>
      <w:proofErr w:type="spellStart"/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Picatrix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, sempre del 1463, è tradotta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in italiano da quel Tommaso Benci che volle da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Leonardo il ritratto della figlia Ginevra in occasione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delle sue nozze nel 1474, dipinto ora a Washington.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Anche secondo Pico della Mirandola l’uomo è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un microcosmo, poiché possiede i semi di tutte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le cose, quelle terrene come le divine, ma è per la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libertà, il risultato delle sue scelte, e solo per questo,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che occupa un posto centrale e privilegiato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nell’universo.</w:t>
      </w:r>
    </w:p>
    <w:p w14:paraId="341173BE" w14:textId="77777777" w:rsidR="00BA48A6" w:rsidRPr="00E202FE" w:rsidRDefault="00BA48A6" w:rsidP="00BA48A6">
      <w:pPr>
        <w:spacing w:after="0"/>
        <w:jc w:val="both"/>
        <w:rPr>
          <w:rFonts w:cstheme="minorHAnsi"/>
          <w:bCs/>
          <w:i/>
          <w:iCs/>
          <w:color w:val="000000"/>
          <w:sz w:val="24"/>
          <w:szCs w:val="24"/>
          <w:lang w:eastAsia="it-IT"/>
        </w:rPr>
      </w:pP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I neoplatonici teorizzano l’inserimento della ricerca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empirica sui fondamenti matematici che costituiscono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le strutture razionali assolute del mondo.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Prima Cusano nell’</w:t>
      </w:r>
      <w:proofErr w:type="spellStart"/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Asclepius</w:t>
      </w:r>
      <w:proofErr w:type="spellEnd"/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del 1458 – “Così l’uomo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ha l’intelletto che è similitudine dell’intelletto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divino quando crea” – poi Marsilio </w:t>
      </w:r>
      <w:proofErr w:type="spellStart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Ficino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nel suo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commento al </w:t>
      </w:r>
      <w:proofErr w:type="spellStart"/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Timeo</w:t>
      </w:r>
      <w:proofErr w:type="spellEnd"/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discutono sulla necessità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collegare la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lastRenderedPageBreak/>
        <w:t>conoscenza empirica a quella matematica;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quest’ultimo, nella </w:t>
      </w:r>
      <w:proofErr w:type="spellStart"/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Theologia</w:t>
      </w:r>
      <w:proofErr w:type="spellEnd"/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platonica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, esalta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quell’ideale punto di unione fra la scienza del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pittore e la scienza della natura per cui la mente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dell’uomo “si trasmuta in similitudine di mente divina”.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Quando Leonardo enuncia il noto principio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che “nessuna umana investigazione si può </w:t>
      </w:r>
      <w:proofErr w:type="spellStart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dimandar</w:t>
      </w:r>
      <w:proofErr w:type="spellEnd"/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vera scienza, s’essa non passa per le matematiche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dimostrazioni”, si collega al tema platonico-ficiniano.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Con lo spirito del sapiente, tra fenomenologia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naturale, magia e gnosi, in piena sintonia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con lo spirito ermetico e neoplatonico, Leonardo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proclama l’inserimento della scienza empirica sui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fondamenti matematici che formano la struttura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razionale assoluta del tutto. Nell’elogio dell’esperienza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come interprete dell’artificiosa natura,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mediatrice tra l’uomo e l’universalità dell’essere,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sta la grande novità di Leonardo. Nell’esaltazione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della riconquistata coscienza del valore dell’uomo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che diventa, con </w:t>
      </w:r>
      <w:proofErr w:type="spellStart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Ficino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, “il centro dell’universo”,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reinterpretando l’affermazione di </w:t>
      </w:r>
      <w:proofErr w:type="spellStart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Protagora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“l’uomo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è la misura di tutte le cose”, nasce il pensiero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di Leonardo, che considera l’uomo modello del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mondo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.</w:t>
      </w:r>
    </w:p>
    <w:p w14:paraId="1C922062" w14:textId="77777777" w:rsidR="00BA48A6" w:rsidRDefault="00BA48A6" w:rsidP="00BA48A6">
      <w:pPr>
        <w:spacing w:after="0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Nell’umanesimo il recupero del classico, noto in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arte da copie in marmo, tra I e II secolo, di originali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greci in bronzo, esprime la volontà di circoscrivere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un’epoca passata, facendone il simbolo di valori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positivi e universali. La perfezione vera delle proporzioni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è incarnata nella nudità delle sculture,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l’unica che imita direttamente la natura in quanto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assoluta e atemporale. L’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Uomo Vitruviano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è nudo: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la nudità, prerogativa della statuaria antica, va letta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come un esplicito riferimento ai grandi esempi della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plastica greca e romana.</w:t>
      </w:r>
    </w:p>
    <w:p w14:paraId="2CF119B5" w14:textId="77777777" w:rsidR="00BA48A6" w:rsidRPr="00E202FE" w:rsidRDefault="00BA48A6" w:rsidP="00BA48A6">
      <w:pPr>
        <w:spacing w:after="0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Il contatto di Leonardo con l’arte classica è precoce,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poiché, narra l’Anonimo Gaddiano, frequentava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a Firenze, novella Atene, il giardino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San Marco detto Orto dei Medici, dove Lorenzo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il Magnifico, a partire dagli anni settanta, teneva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il suo cenacolo di umanisti, filosofi, letterati 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artisti in mezzo a sculture antiche. Nell’Orto dei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Medici si afferma il gusto per il bronzetto “all’antica”,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destinato a collezionisti che amavano oggetti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preziosi di manifattura raffinata, come gemme 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cammei, in materiali di pregio. Il primo è forse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Filarete, ispirato da 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Marsia che suona il flauto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detto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Ignudo della paura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, ora al Bargello; dopo di lui,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il gusto per il “bronzetto all’antica” si sviluppa 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Mantova con l’Antico. Il suo 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Apollo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, qui esposto,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ne rappresenta un mirabile esempio.</w:t>
      </w:r>
    </w:p>
    <w:p w14:paraId="387400E2" w14:textId="77777777" w:rsidR="00BA48A6" w:rsidRPr="00E202FE" w:rsidRDefault="00BA48A6" w:rsidP="00BA48A6">
      <w:pPr>
        <w:spacing w:after="0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Da quel contesto, gli scultori fiorentini del momento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traggono anche il gusto per il tema dei profili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classici degli imperatori o condottieri romani, in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particolare il marmo con il 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Busto di Scipione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, ora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al Louvre, e quello di Alessandro Magno, ora 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Washington, entrambi del 1480 circa, di ambito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di Andrea Verrocchio. Da tali modelli Leonardo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trae ispirazione, anni dopo, per i tre busti di profilo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“all’antica” ora a Torino, Londra e Venezia, modulati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sui prototipi del suo maestro scultore, a loro volta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ispirati a cammei antichi: una ripresa, dunque,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modelli contemporanei debitori della classicità.</w:t>
      </w:r>
    </w:p>
    <w:p w14:paraId="5552A68E" w14:textId="77777777" w:rsidR="00BA48A6" w:rsidRPr="00E202FE" w:rsidRDefault="00BA48A6" w:rsidP="00BA48A6">
      <w:pPr>
        <w:spacing w:after="0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Giunto a Milano nel 1482, l’artista fiorentino incontra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gli architetti provenienti dal centro Italia,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fra cui Bramante, Luca Fancelli (allievo di Alberti) 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Francesco di Giorgio Martini, che aveva già visitato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Roma; e ancora gli scultori imbevuti di gusto antiquario,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come Amadeo e Mantegazza alla Certosa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di Pavia. Fondamentale è la visita a Pavia nel 1490,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dove Leonardo vede l’unico esempio dal vero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monumento equestre, il </w:t>
      </w:r>
      <w:proofErr w:type="spellStart"/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Regisole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, opera del I secolo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a.C., proprio nel momento in cui lavora alla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seconda fase del 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Monumento Sforza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. È in quell’occasione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che pronuncia l’unica celebre frase in cui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ammette che il valore dell’imitazione degli antichi è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superiore a quello dei moderni: “L’imitazione delle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cose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lastRenderedPageBreak/>
        <w:t xml:space="preserve">antiche è più </w:t>
      </w:r>
      <w:proofErr w:type="spellStart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laldabile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che quella delle moderne”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(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Codice Atlantico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, f. 339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r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). Ma si chiede anche: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“Qual è meglio, o ritrarre di naturale o d’antico?”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(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Ms. A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, f. 105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v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). La frase più esplicita sull’imitazione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degli antichi risale al periodo romano, nel 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Libro di</w:t>
      </w:r>
      <w:r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pittura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al capitolo 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Del modo di vestire le figure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(c.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533): “Osserva il decoro che tu vesti le figure […]. Et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imita quanto puoi li Greci e Latini col modo del scoprire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le membra, quando il vento appoggia sopra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loro li panni”.</w:t>
      </w:r>
    </w:p>
    <w:p w14:paraId="5ECC883A" w14:textId="77777777" w:rsidR="00BA48A6" w:rsidRDefault="00BA48A6" w:rsidP="00BA48A6">
      <w:pPr>
        <w:spacing w:after="0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Più che di un vero debito alla tradizione classica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perduto, al quale vanno legati i numerosi fogli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sciolti ancora esistenti dedicati allo studio di proporzioni,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che probabilmente in origine facevano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parte di quell’unico taccuino ed erano espressione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di uno studio iniziato verso il 1487 e concluso intorno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al 1490. Conservati oggi per la maggior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parte nelle collezioni reali di Windsor </w:t>
      </w:r>
      <w:proofErr w:type="spellStart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Castle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studiati da </w:t>
      </w:r>
      <w:proofErr w:type="spellStart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Keele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e Pedretti, gli studi di proporzioni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riflettono la ricerca leonardiana dell’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homo</w:t>
      </w:r>
      <w:r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bene </w:t>
      </w:r>
      <w:proofErr w:type="spellStart"/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figuratus</w:t>
      </w:r>
      <w:proofErr w:type="spellEnd"/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di Vitruvio, non di un corpo, quindi,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ma del corpo “ben fatto”: “Abbi intera notizia delle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misure dell’omo”, scrive, da scegliere tra “quelli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miglior grazia” e continua: “</w:t>
      </w:r>
      <w:proofErr w:type="spellStart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Debbe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il pittore fare la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figura sopra la regola d’un corpo naturale, il quale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comunemente sia di proporzione laudabile; oltre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di questo far misurare sé medesimo e vedere in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che parte la sua persona varia assai o poco da quella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anzidetta laudabile”.</w:t>
      </w:r>
    </w:p>
    <w:p w14:paraId="6792EF76" w14:textId="77777777" w:rsidR="00BA48A6" w:rsidRPr="00CB7A5C" w:rsidRDefault="00BA48A6" w:rsidP="00BA48A6">
      <w:pPr>
        <w:spacing w:after="0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Giunto a Milano nel 1482, l’artista fiorentino incontra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gli architetti provenienti dal centro Italia,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fra cui Bramante, Luca Fancelli (allievo di Alberti) 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Francesco di Giorgio Martini, che aveva già visitato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Roma; e ancora gli scultori imbevuti di gusto antiquario,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come Amadeo e Mantegazza alla Certosa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di Pavia. Fondamentale è la visita a Pavia nel 1490,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dove Leonardo vede l’unico esempio dal vero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monumento equestre, il </w:t>
      </w:r>
      <w:proofErr w:type="spellStart"/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Regisole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, opera del I secolo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a.C., proprio nel momento in cui lavora alla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seconda fase del 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Monumento Sforza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. È in quell’occasione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che pronuncia l’unica celebre frase in cui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ammette che il valore dell’imitazione degli antichi è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superiore a quello dei moderni: “L’imitazione delle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cose antiche è più </w:t>
      </w:r>
      <w:proofErr w:type="spellStart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laldabile</w:t>
      </w:r>
      <w:proofErr w:type="spellEnd"/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che quella delle moderne”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(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Codice Atlantico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, f. 339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r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). Ma si chiede anche: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“Qual è meglio, o ritrarre di naturale o d’antico?”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(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Ms. A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, f. 105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v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). La frase più esplicita sull’imitazione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degli antichi risale al periodo romano, nel 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>Libro di</w:t>
      </w:r>
      <w:r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pittura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al capitolo </w:t>
      </w:r>
      <w:r w:rsidRPr="00E202FE">
        <w:rPr>
          <w:rFonts w:cstheme="minorHAnsi"/>
          <w:bCs/>
          <w:i/>
          <w:iCs/>
          <w:color w:val="000000"/>
          <w:sz w:val="24"/>
          <w:szCs w:val="24"/>
          <w:lang w:eastAsia="it-IT"/>
        </w:rPr>
        <w:t xml:space="preserve">Del modo di vestire le figure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(c.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533): “Osserva il decoro che tu vesti le figure […]. Et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imita quanto puoi li Greci e Latini col modo del scoprire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le membra, quando il vento appoggia sopra 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202FE">
        <w:rPr>
          <w:rFonts w:cstheme="minorHAnsi"/>
          <w:bCs/>
          <w:iCs/>
          <w:color w:val="000000"/>
          <w:sz w:val="24"/>
          <w:szCs w:val="24"/>
          <w:lang w:eastAsia="it-IT"/>
        </w:rPr>
        <w:t>loro li panni”.</w:t>
      </w:r>
    </w:p>
    <w:p w14:paraId="0AF96C45" w14:textId="77777777" w:rsidR="00BA48A6" w:rsidRPr="00CB7A5C" w:rsidRDefault="00BA48A6" w:rsidP="00BA48A6">
      <w:pPr>
        <w:spacing w:after="0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</w:p>
    <w:p w14:paraId="1DBB43D9" w14:textId="77777777" w:rsidR="00BA48A6" w:rsidRDefault="00BA48A6" w:rsidP="00BA48A6">
      <w:pPr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CB7A5C">
        <w:rPr>
          <w:rFonts w:cstheme="minorHAnsi"/>
          <w:bCs/>
          <w:iCs/>
          <w:color w:val="000000"/>
          <w:sz w:val="24"/>
          <w:szCs w:val="24"/>
          <w:lang w:eastAsia="it-IT"/>
        </w:rPr>
        <w:t>Venezia, 16 aprile 2019</w:t>
      </w:r>
    </w:p>
    <w:p w14:paraId="342698D3" w14:textId="77777777" w:rsidR="00BA48A6" w:rsidRPr="00A54363" w:rsidRDefault="00BA48A6" w:rsidP="00BA48A6">
      <w:pPr>
        <w:jc w:val="both"/>
        <w:rPr>
          <w:rFonts w:cstheme="minorHAnsi"/>
          <w:b/>
          <w:bCs/>
          <w:iCs/>
          <w:color w:val="000000"/>
          <w:sz w:val="24"/>
          <w:szCs w:val="24"/>
          <w:lang w:eastAsia="it-IT"/>
        </w:rPr>
      </w:pPr>
      <w:r w:rsidRPr="005C0844">
        <w:rPr>
          <w:rFonts w:cstheme="minorHAnsi"/>
          <w:b/>
          <w:bCs/>
          <w:iCs/>
          <w:color w:val="000000"/>
          <w:sz w:val="24"/>
          <w:szCs w:val="24"/>
          <w:lang w:eastAsia="it-IT"/>
        </w:rPr>
        <w:t>* Estratto dal testo in catalogo Silvana Editoriale</w:t>
      </w:r>
    </w:p>
    <w:p w14:paraId="48F3C17C" w14:textId="68C77ED1" w:rsidR="00A54363" w:rsidRPr="00BA48A6" w:rsidRDefault="00A54363" w:rsidP="00BA48A6">
      <w:bookmarkStart w:id="0" w:name="_GoBack"/>
      <w:bookmarkEnd w:id="0"/>
    </w:p>
    <w:sectPr w:rsidR="00A54363" w:rsidRPr="00BA48A6" w:rsidSect="00D63329">
      <w:headerReference w:type="first" r:id="rId8"/>
      <w:footerReference w:type="first" r:id="rId9"/>
      <w:pgSz w:w="11906" w:h="16838" w:code="9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99D41" w14:textId="77777777" w:rsidR="000B432D" w:rsidRDefault="000B432D" w:rsidP="00C30AFB">
      <w:pPr>
        <w:spacing w:after="0" w:line="240" w:lineRule="auto"/>
      </w:pPr>
      <w:r>
        <w:separator/>
      </w:r>
    </w:p>
  </w:endnote>
  <w:endnote w:type="continuationSeparator" w:id="0">
    <w:p w14:paraId="69254A63" w14:textId="77777777" w:rsidR="000B432D" w:rsidRDefault="000B432D" w:rsidP="00C30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E072D" w14:textId="411D2AEA" w:rsidR="00FE5FDD" w:rsidRDefault="00DB68E9" w:rsidP="00DF10C3">
    <w:pPr>
      <w:pStyle w:val="Pidipagina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632CA9B" wp14:editId="2B04751E">
          <wp:simplePos x="0" y="0"/>
          <wp:positionH relativeFrom="margin">
            <wp:posOffset>-405130</wp:posOffset>
          </wp:positionH>
          <wp:positionV relativeFrom="margin">
            <wp:posOffset>8139430</wp:posOffset>
          </wp:positionV>
          <wp:extent cx="6483350" cy="89662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iu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0" cy="896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9D32C" w14:textId="77777777" w:rsidR="000B432D" w:rsidRDefault="000B432D" w:rsidP="00C30AFB">
      <w:pPr>
        <w:spacing w:after="0" w:line="240" w:lineRule="auto"/>
      </w:pPr>
      <w:r>
        <w:separator/>
      </w:r>
    </w:p>
  </w:footnote>
  <w:footnote w:type="continuationSeparator" w:id="0">
    <w:p w14:paraId="1DE39F88" w14:textId="77777777" w:rsidR="000B432D" w:rsidRDefault="000B432D" w:rsidP="00C30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40357" w14:textId="1BFC300E" w:rsidR="0078032E" w:rsidRDefault="00D63329" w:rsidP="00D63329">
    <w:pPr>
      <w:jc w:val="center"/>
    </w:pPr>
    <w:r>
      <w:rPr>
        <w:noProof/>
        <w:lang w:eastAsia="it-IT"/>
      </w:rPr>
      <w:drawing>
        <wp:inline distT="0" distB="0" distL="0" distR="0" wp14:anchorId="34CC3944" wp14:editId="19BDB7AD">
          <wp:extent cx="5476875" cy="8382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68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277"/>
    <w:rsid w:val="000418C6"/>
    <w:rsid w:val="000474D1"/>
    <w:rsid w:val="000A2817"/>
    <w:rsid w:val="000B432D"/>
    <w:rsid w:val="000B6936"/>
    <w:rsid w:val="001167A3"/>
    <w:rsid w:val="00124AA2"/>
    <w:rsid w:val="00157B8C"/>
    <w:rsid w:val="00183203"/>
    <w:rsid w:val="00184E23"/>
    <w:rsid w:val="001866DE"/>
    <w:rsid w:val="001A02F8"/>
    <w:rsid w:val="001B5D9A"/>
    <w:rsid w:val="001E3D33"/>
    <w:rsid w:val="002306F0"/>
    <w:rsid w:val="002779D7"/>
    <w:rsid w:val="002B4A3C"/>
    <w:rsid w:val="002C66BF"/>
    <w:rsid w:val="002F2B1E"/>
    <w:rsid w:val="0038790A"/>
    <w:rsid w:val="003A3277"/>
    <w:rsid w:val="003D24F9"/>
    <w:rsid w:val="00416BCB"/>
    <w:rsid w:val="004332C0"/>
    <w:rsid w:val="0046019F"/>
    <w:rsid w:val="004732A5"/>
    <w:rsid w:val="004950F2"/>
    <w:rsid w:val="004D111C"/>
    <w:rsid w:val="004F479A"/>
    <w:rsid w:val="00536251"/>
    <w:rsid w:val="00554D41"/>
    <w:rsid w:val="0055546F"/>
    <w:rsid w:val="005956AE"/>
    <w:rsid w:val="005C3FFB"/>
    <w:rsid w:val="005C555E"/>
    <w:rsid w:val="005D6EBB"/>
    <w:rsid w:val="006017CF"/>
    <w:rsid w:val="00637003"/>
    <w:rsid w:val="00643281"/>
    <w:rsid w:val="00665025"/>
    <w:rsid w:val="00681FBE"/>
    <w:rsid w:val="006E4587"/>
    <w:rsid w:val="006F0E87"/>
    <w:rsid w:val="00701C0C"/>
    <w:rsid w:val="007122F5"/>
    <w:rsid w:val="007261CB"/>
    <w:rsid w:val="00730F04"/>
    <w:rsid w:val="0073196C"/>
    <w:rsid w:val="00734628"/>
    <w:rsid w:val="00741A46"/>
    <w:rsid w:val="0078032E"/>
    <w:rsid w:val="007D29C5"/>
    <w:rsid w:val="007F0C27"/>
    <w:rsid w:val="007F4F7B"/>
    <w:rsid w:val="00800108"/>
    <w:rsid w:val="008003C3"/>
    <w:rsid w:val="00831D20"/>
    <w:rsid w:val="00887465"/>
    <w:rsid w:val="00891147"/>
    <w:rsid w:val="00920EE2"/>
    <w:rsid w:val="009425B9"/>
    <w:rsid w:val="0095413A"/>
    <w:rsid w:val="00983AAA"/>
    <w:rsid w:val="009B4B22"/>
    <w:rsid w:val="009C19BE"/>
    <w:rsid w:val="009E7253"/>
    <w:rsid w:val="009F735A"/>
    <w:rsid w:val="00A20A9D"/>
    <w:rsid w:val="00A518D0"/>
    <w:rsid w:val="00A54363"/>
    <w:rsid w:val="00A55E68"/>
    <w:rsid w:val="00AC1E29"/>
    <w:rsid w:val="00AF1087"/>
    <w:rsid w:val="00B47BD5"/>
    <w:rsid w:val="00B539B3"/>
    <w:rsid w:val="00B63E91"/>
    <w:rsid w:val="00B71C72"/>
    <w:rsid w:val="00BA48A6"/>
    <w:rsid w:val="00C132D9"/>
    <w:rsid w:val="00C17153"/>
    <w:rsid w:val="00C24099"/>
    <w:rsid w:val="00C24A2E"/>
    <w:rsid w:val="00C30AFB"/>
    <w:rsid w:val="00CE66DB"/>
    <w:rsid w:val="00CF11D0"/>
    <w:rsid w:val="00CF7C9C"/>
    <w:rsid w:val="00CF7D51"/>
    <w:rsid w:val="00D613F5"/>
    <w:rsid w:val="00D63329"/>
    <w:rsid w:val="00D64AA2"/>
    <w:rsid w:val="00D9692E"/>
    <w:rsid w:val="00DA1B53"/>
    <w:rsid w:val="00DB68E9"/>
    <w:rsid w:val="00DD05E4"/>
    <w:rsid w:val="00DF10C3"/>
    <w:rsid w:val="00E319CB"/>
    <w:rsid w:val="00E5412C"/>
    <w:rsid w:val="00E8445D"/>
    <w:rsid w:val="00EA448D"/>
    <w:rsid w:val="00EA53E5"/>
    <w:rsid w:val="00F05C40"/>
    <w:rsid w:val="00F3173A"/>
    <w:rsid w:val="00F3252C"/>
    <w:rsid w:val="00F3548A"/>
    <w:rsid w:val="00F457C9"/>
    <w:rsid w:val="00F60229"/>
    <w:rsid w:val="00FC294C"/>
    <w:rsid w:val="00FC2CAD"/>
    <w:rsid w:val="00FE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0E5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AFB"/>
  </w:style>
  <w:style w:type="paragraph" w:styleId="Pidipagina">
    <w:name w:val="footer"/>
    <w:basedOn w:val="Normale"/>
    <w:link w:val="Pidipagina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A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6DB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2779D7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779D7"/>
    <w:rPr>
      <w:b/>
      <w:bCs/>
    </w:rPr>
  </w:style>
  <w:style w:type="paragraph" w:styleId="NormaleWeb">
    <w:name w:val="Normal (Web)"/>
    <w:basedOn w:val="Normale"/>
    <w:uiPriority w:val="99"/>
    <w:unhideWhenUsed/>
    <w:rsid w:val="002779D7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1D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167A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AFB"/>
  </w:style>
  <w:style w:type="paragraph" w:styleId="Pidipagina">
    <w:name w:val="footer"/>
    <w:basedOn w:val="Normale"/>
    <w:link w:val="Pidipagina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A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6DB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2779D7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779D7"/>
    <w:rPr>
      <w:b/>
      <w:bCs/>
    </w:rPr>
  </w:style>
  <w:style w:type="paragraph" w:styleId="NormaleWeb">
    <w:name w:val="Normal (Web)"/>
    <w:basedOn w:val="Normale"/>
    <w:uiPriority w:val="99"/>
    <w:unhideWhenUsed/>
    <w:rsid w:val="002779D7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1D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167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C5010-51AA-4ED7-9B12-377EF26E2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Fioranelli</dc:creator>
  <cp:lastModifiedBy>Clara Cervia</cp:lastModifiedBy>
  <cp:revision>2</cp:revision>
  <cp:lastPrinted>2019-03-06T15:35:00Z</cp:lastPrinted>
  <dcterms:created xsi:type="dcterms:W3CDTF">2019-04-15T07:40:00Z</dcterms:created>
  <dcterms:modified xsi:type="dcterms:W3CDTF">2019-04-15T07:40:00Z</dcterms:modified>
</cp:coreProperties>
</file>