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3A2365" w14:textId="4371F95A" w:rsidR="00EB045F" w:rsidRDefault="00EB045F" w:rsidP="00EB045F">
      <w:pPr>
        <w:spacing w:after="0" w:line="240" w:lineRule="auto"/>
        <w:rPr>
          <w:rFonts w:cstheme="minorHAnsi"/>
          <w:b/>
          <w:bCs/>
          <w:iCs/>
          <w:color w:val="000000"/>
          <w:sz w:val="28"/>
          <w:szCs w:val="24"/>
          <w:lang w:eastAsia="it-IT"/>
        </w:rPr>
      </w:pPr>
      <w:r>
        <w:rPr>
          <w:rFonts w:cstheme="minorHAnsi"/>
          <w:b/>
          <w:bCs/>
          <w:iCs/>
          <w:color w:val="000000"/>
          <w:sz w:val="28"/>
          <w:szCs w:val="24"/>
          <w:lang w:eastAsia="it-IT"/>
        </w:rPr>
        <w:br/>
      </w:r>
      <w:r w:rsidR="000B188F">
        <w:rPr>
          <w:rFonts w:cstheme="minorHAnsi"/>
          <w:b/>
          <w:bCs/>
          <w:iCs/>
          <w:color w:val="000000"/>
          <w:sz w:val="28"/>
          <w:szCs w:val="24"/>
          <w:lang w:eastAsia="it-IT"/>
        </w:rPr>
        <w:t>Percorso espositivo</w:t>
      </w:r>
    </w:p>
    <w:p w14:paraId="0677C804" w14:textId="77777777" w:rsidR="000B188F" w:rsidRPr="00A54363" w:rsidRDefault="000B188F" w:rsidP="00EB045F">
      <w:pPr>
        <w:spacing w:after="0" w:line="240" w:lineRule="auto"/>
        <w:rPr>
          <w:rFonts w:cstheme="minorHAnsi"/>
          <w:b/>
          <w:bCs/>
          <w:iCs/>
          <w:color w:val="000000"/>
          <w:sz w:val="28"/>
          <w:szCs w:val="24"/>
          <w:lang w:eastAsia="it-IT"/>
        </w:rPr>
      </w:pPr>
    </w:p>
    <w:p w14:paraId="205294EB" w14:textId="3842C51E" w:rsidR="000B188F" w:rsidRPr="000B188F" w:rsidRDefault="000B188F" w:rsidP="000B188F">
      <w:pPr>
        <w:spacing w:after="120" w:line="276" w:lineRule="auto"/>
        <w:jc w:val="both"/>
        <w:rPr>
          <w:rFonts w:cstheme="minorHAnsi"/>
          <w:bCs/>
          <w:iCs/>
          <w:color w:val="000000"/>
          <w:sz w:val="24"/>
          <w:szCs w:val="24"/>
          <w:lang w:eastAsia="it-IT"/>
        </w:rPr>
      </w:pP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Il percorso della mostra è scandito dai disegni di Leonardo provenienti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dalla collezione di Giuseppe Bossi e acquistati nel 1822 dalle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Gallerie dell’Accademia, il fondo pubblico italiano con il numero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più consistente di disegni. I venticinque fogli veneziani del maestro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di Vinci segnano il cammino artistico del pittore e offrono un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interessante </w:t>
      </w:r>
      <w:r w:rsidRPr="000B188F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 xml:space="preserve">excursus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lungo l’arco della sua produzione, a partire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dai primissimi lavori fiorentini fino agli ultimi francesi, segnando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le tappe di uno sviluppo cronologico molto difficile da rispettare,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sia per la difficoltà primaria di circoscrivere una datazione per 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disegni che per l’inevitabile compenetrazione di temi rivelatori dei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molteplici interessi della sua mente che spazia contemporaneamente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in varie direzioni: dai disegni emerge un panorama esemplificativo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dei percorsi mentali dell’artista, tradotti simultaneamente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sulla carta. Poterli osservare da vicino significa seguire la profonda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evoluzione del suo pensiero ed entrare appieno nel tumulto della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sua magia creativa. Un valido esempio ne è il foglio n. 236, utilizzato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due volte in tempi e con </w:t>
      </w:r>
      <w:r w:rsidRPr="000B188F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 xml:space="preserve">media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grafici diversi: Leonardo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verso il 1490 studia a inchiostro le proporzioni del busto sia nel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 xml:space="preserve">recto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che nel </w:t>
      </w:r>
      <w:r w:rsidRPr="000B188F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verso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, dove, circa diciotto anni dopo, nel 1503-1505,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schizza con la sanguigna cavallo e cavalieri al galoppo per la perduta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 xml:space="preserve">Battaglia di Anghiari.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Lo stesso filo cronologico, quindi, non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riesce a indicare una via lineare: la contemporaneità di riflessioni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scientifiche e di idee per composizioni pittoriche impone disomogeneità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tematiche nello stesso foglio. Le immagini, pur nella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complessa profondità dei concetti, affascinano per la straordinaria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eloquenza. Alcuni fogli sono esposti </w:t>
      </w:r>
      <w:r w:rsidRPr="000B188F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 xml:space="preserve">recto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e </w:t>
      </w:r>
      <w:r w:rsidRPr="000B188F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 xml:space="preserve">verso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in modo da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riflettere appieno la complessità dei suoi pensieri, profondi, acuti,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inesauribili, imprevedibili.</w:t>
      </w:r>
    </w:p>
    <w:p w14:paraId="687A1B8C" w14:textId="34FFD384" w:rsidR="000B188F" w:rsidRPr="000B188F" w:rsidRDefault="000B188F" w:rsidP="000B188F">
      <w:pPr>
        <w:spacing w:after="120" w:line="276" w:lineRule="auto"/>
        <w:jc w:val="both"/>
        <w:rPr>
          <w:rFonts w:cstheme="minorHAnsi"/>
          <w:bCs/>
          <w:iCs/>
          <w:color w:val="000000"/>
          <w:sz w:val="24"/>
          <w:szCs w:val="24"/>
          <w:lang w:eastAsia="it-IT"/>
        </w:rPr>
      </w:pP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A integrazione e approfondimento del nucleo di opere delle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Gallerie, che documenta sia le ricerche scientifiche, con studi di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proporzione del corpo umano, di natura, di ottica, di fisica, di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meccanica e di armi, che le fasi preparatorie per alcuni dipinti,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sono affiancati, in ordine cronologico, altri undici disegni autografi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prestati da vari musei (Royal Collection di Windsor Castel,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proofErr w:type="spellStart"/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Fitzwilliam</w:t>
      </w:r>
      <w:proofErr w:type="spellEnd"/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Museum di Cambridge, National Gallery of Art di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Washington) e altri sette di allievi (</w:t>
      </w:r>
      <w:proofErr w:type="spellStart"/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Ashmolean</w:t>
      </w:r>
      <w:proofErr w:type="spellEnd"/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Museum di Oxford,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Hamburger </w:t>
      </w:r>
      <w:proofErr w:type="spellStart"/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Kunsthalle</w:t>
      </w:r>
      <w:proofErr w:type="spellEnd"/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di Amburgo, Morgan Library &amp; Museum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di New York), una scultura e sette volumi. L’esposizione illustra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vari tipi di tecniche artistiche, inchiostri, pietra nera e rossa, e delle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carte, bianche, tinte e preparate di rosso e azzurro.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Il gruppo degli studi preparatori per la perduta composizione pittorica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di Palazzo Vecchio a Firenze, raffigurante la </w:t>
      </w:r>
      <w:r w:rsidRPr="000B188F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Battaglia di</w:t>
      </w:r>
      <w:r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Anghiari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, è in assoluto il più consistente conservato nella stessa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collezione: cinque disegni, straordinarie miniature tracciate 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inchiostro, con rapido ed efficace effetto di immediatezza e impareggiabile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lastRenderedPageBreak/>
        <w:t>potenza espressiva, mirabile sintesi del fulmineo svolgersi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dell’azione bellica. Il breve soggiorno a Venezia è focalizzato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sui disegni degli allievi che lo accompagnano, Gian Giacomo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Salai, Giovan Antonio </w:t>
      </w:r>
      <w:proofErr w:type="spellStart"/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Boltraffio</w:t>
      </w:r>
      <w:proofErr w:type="spellEnd"/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, Francesco Napoletano e Giovan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Agostino da Lodi, e sul volume </w:t>
      </w:r>
      <w:r w:rsidRPr="000B188F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 xml:space="preserve">Della simmetria dei corpi </w:t>
      </w:r>
      <w:proofErr w:type="spellStart"/>
      <w:r w:rsidRPr="000B188F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humani</w:t>
      </w:r>
      <w:proofErr w:type="spellEnd"/>
      <w:r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di </w:t>
      </w:r>
      <w:proofErr w:type="spellStart"/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Dürer</w:t>
      </w:r>
      <w:proofErr w:type="spellEnd"/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, testimonianza del reciproco scambio di influenze tra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l’artista tedesco e Leonardo. Il rapporto con Giorgione è posto in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risalto dal disegno con la testa di Cristo, esempio unico dell’utilizzo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della punta d’oro, il cui riflesso scintillante si intreccia con la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traccia della punta d’argento.</w:t>
      </w:r>
    </w:p>
    <w:p w14:paraId="74CC4A68" w14:textId="13CC6B8C" w:rsidR="00EB045F" w:rsidRDefault="000B188F" w:rsidP="000B188F">
      <w:pPr>
        <w:spacing w:after="120" w:line="276" w:lineRule="auto"/>
        <w:jc w:val="both"/>
        <w:rPr>
          <w:rFonts w:cstheme="minorHAnsi"/>
          <w:bCs/>
          <w:iCs/>
          <w:color w:val="000000"/>
          <w:sz w:val="24"/>
          <w:szCs w:val="24"/>
          <w:lang w:eastAsia="it-IT"/>
        </w:rPr>
      </w:pP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Il </w:t>
      </w:r>
      <w:r w:rsidRPr="000B188F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 xml:space="preserve">focus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della mostra rimane inevitabilmente il celebre studio di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proporzioni umane noto come </w:t>
      </w:r>
      <w:r w:rsidRPr="000B188F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Uomo Vitruviano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, superba compenetrazione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tra arte e scienza, risultato di una sintesi insuperata di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rappresentazione armonica assurto a simbolo di perfezione classica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del corpo e della mente, di un microcosmo a misura umana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che è il riflesso del cosmo intero. La genesi storica del disegno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inizia dagli studi anatomici degli anni 1487-1490, prestati dalle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collezioni reali di Windsor Castle, che sottendono alla realistica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resa anatomica del corpo umano, mai esposti accanto al modello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dell’</w:t>
      </w:r>
      <w:r w:rsidRPr="000B188F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 xml:space="preserve">homo bene </w:t>
      </w:r>
      <w:proofErr w:type="spellStart"/>
      <w:r w:rsidRPr="000B188F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figuratus</w:t>
      </w:r>
      <w:proofErr w:type="spellEnd"/>
      <w:r w:rsidRPr="000B188F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di vitruviana memoria. Il disegno è inserito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anche tra altri studi di proporzione del corpo umano realizzati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dall’artista a Milano intorno al 1490, prestati dalle collezioni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reali di Windsor Castle, documentazione grafica preziosa dell’attenzione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leonardiana alle proporzioni umane in quel periodo, mai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esposti insieme, come se si trovassero ancora sul tavolo del pittore.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Poi viene confrontato storicamente con gli “uomini vitruviani”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realizzati da altri artisti dopo Leonardo, raffigurati nei volumi 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stampa di Fra Giocondo e di Cesariano e nei cinque disegni di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Carlo Urbino nel </w:t>
      </w:r>
      <w:r w:rsidRPr="000B188F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Codice Huygens</w:t>
      </w:r>
      <w:r w:rsidRPr="000B188F">
        <w:rPr>
          <w:rFonts w:cstheme="minorHAnsi"/>
          <w:bCs/>
          <w:iCs/>
          <w:color w:val="000000"/>
          <w:sz w:val="24"/>
          <w:szCs w:val="24"/>
          <w:lang w:eastAsia="it-IT"/>
        </w:rPr>
        <w:t>.</w:t>
      </w:r>
    </w:p>
    <w:p w14:paraId="24469940" w14:textId="77777777" w:rsidR="000B188F" w:rsidRDefault="000B188F" w:rsidP="000B188F">
      <w:pPr>
        <w:spacing w:after="0"/>
        <w:jc w:val="both"/>
        <w:rPr>
          <w:rFonts w:cstheme="minorHAnsi"/>
          <w:bCs/>
          <w:iCs/>
          <w:color w:val="000000"/>
          <w:sz w:val="24"/>
          <w:szCs w:val="24"/>
          <w:lang w:eastAsia="it-IT"/>
        </w:rPr>
      </w:pPr>
    </w:p>
    <w:p w14:paraId="48F3C17C" w14:textId="455BBE37" w:rsidR="00A54363" w:rsidRPr="000B188F" w:rsidRDefault="00EB045F" w:rsidP="000B188F">
      <w:pPr>
        <w:jc w:val="both"/>
        <w:rPr>
          <w:rFonts w:cstheme="minorHAnsi"/>
          <w:bCs/>
          <w:iCs/>
          <w:color w:val="000000"/>
          <w:sz w:val="24"/>
          <w:szCs w:val="24"/>
          <w:lang w:eastAsia="it-IT"/>
        </w:rPr>
      </w:pPr>
      <w:r>
        <w:rPr>
          <w:rFonts w:cstheme="minorHAnsi"/>
          <w:bCs/>
          <w:iCs/>
          <w:color w:val="000000"/>
          <w:sz w:val="24"/>
          <w:szCs w:val="24"/>
          <w:lang w:eastAsia="it-IT"/>
        </w:rPr>
        <w:t>Venezia, 16 aprile 2019</w:t>
      </w:r>
      <w:bookmarkStart w:id="0" w:name="_GoBack"/>
      <w:bookmarkEnd w:id="0"/>
    </w:p>
    <w:sectPr w:rsidR="00A54363" w:rsidRPr="000B188F" w:rsidSect="000B188F">
      <w:headerReference w:type="first" r:id="rId7"/>
      <w:footerReference w:type="first" r:id="rId8"/>
      <w:pgSz w:w="11906" w:h="16838" w:code="9"/>
      <w:pgMar w:top="1418" w:right="1418" w:bottom="255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99D41" w14:textId="77777777" w:rsidR="000B432D" w:rsidRDefault="000B432D" w:rsidP="00C30AFB">
      <w:pPr>
        <w:spacing w:after="0" w:line="240" w:lineRule="auto"/>
      </w:pPr>
      <w:r>
        <w:separator/>
      </w:r>
    </w:p>
  </w:endnote>
  <w:endnote w:type="continuationSeparator" w:id="0">
    <w:p w14:paraId="69254A63" w14:textId="77777777" w:rsidR="000B432D" w:rsidRDefault="000B432D" w:rsidP="00C30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E072D" w14:textId="411D2AEA" w:rsidR="00FE5FDD" w:rsidRDefault="00DB68E9" w:rsidP="00DF10C3">
    <w:pPr>
      <w:pStyle w:val="Pidipagina"/>
      <w:jc w:val="center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632CA9B" wp14:editId="2B04751E">
          <wp:simplePos x="0" y="0"/>
          <wp:positionH relativeFrom="margin">
            <wp:posOffset>-405130</wp:posOffset>
          </wp:positionH>
          <wp:positionV relativeFrom="margin">
            <wp:posOffset>8139430</wp:posOffset>
          </wp:positionV>
          <wp:extent cx="6483350" cy="896620"/>
          <wp:effectExtent l="0" t="0" r="0" b="0"/>
          <wp:wrapSquare wrapText="bothSides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iu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350" cy="8966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A9D32C" w14:textId="77777777" w:rsidR="000B432D" w:rsidRDefault="000B432D" w:rsidP="00C30AFB">
      <w:pPr>
        <w:spacing w:after="0" w:line="240" w:lineRule="auto"/>
      </w:pPr>
      <w:r>
        <w:separator/>
      </w:r>
    </w:p>
  </w:footnote>
  <w:footnote w:type="continuationSeparator" w:id="0">
    <w:p w14:paraId="1DE39F88" w14:textId="77777777" w:rsidR="000B432D" w:rsidRDefault="000B432D" w:rsidP="00C30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40357" w14:textId="1BFC300E" w:rsidR="0078032E" w:rsidRDefault="00D63329" w:rsidP="00D63329">
    <w:pPr>
      <w:jc w:val="center"/>
    </w:pPr>
    <w:r>
      <w:rPr>
        <w:noProof/>
        <w:lang w:eastAsia="it-IT"/>
      </w:rPr>
      <w:drawing>
        <wp:inline distT="0" distB="0" distL="0" distR="0" wp14:anchorId="34CC3944" wp14:editId="19BDB7AD">
          <wp:extent cx="5476875" cy="838200"/>
          <wp:effectExtent l="0" t="0" r="9525" b="0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768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277"/>
    <w:rsid w:val="000418C6"/>
    <w:rsid w:val="000474D1"/>
    <w:rsid w:val="000A2817"/>
    <w:rsid w:val="000B188F"/>
    <w:rsid w:val="000B432D"/>
    <w:rsid w:val="000B6936"/>
    <w:rsid w:val="001167A3"/>
    <w:rsid w:val="00124AA2"/>
    <w:rsid w:val="00157B8C"/>
    <w:rsid w:val="00183203"/>
    <w:rsid w:val="00184E23"/>
    <w:rsid w:val="001866DE"/>
    <w:rsid w:val="001A02F8"/>
    <w:rsid w:val="001B5D9A"/>
    <w:rsid w:val="001E3D33"/>
    <w:rsid w:val="002306F0"/>
    <w:rsid w:val="002779D7"/>
    <w:rsid w:val="002B4A3C"/>
    <w:rsid w:val="002C66BF"/>
    <w:rsid w:val="002F2B1E"/>
    <w:rsid w:val="0038790A"/>
    <w:rsid w:val="003A3277"/>
    <w:rsid w:val="003D24F9"/>
    <w:rsid w:val="00416BCB"/>
    <w:rsid w:val="004332C0"/>
    <w:rsid w:val="0046019F"/>
    <w:rsid w:val="004732A5"/>
    <w:rsid w:val="004950F2"/>
    <w:rsid w:val="004D111C"/>
    <w:rsid w:val="004F479A"/>
    <w:rsid w:val="00536251"/>
    <w:rsid w:val="00554D41"/>
    <w:rsid w:val="0055546F"/>
    <w:rsid w:val="005956AE"/>
    <w:rsid w:val="005C3FFB"/>
    <w:rsid w:val="005C555E"/>
    <w:rsid w:val="005D6EBB"/>
    <w:rsid w:val="006017CF"/>
    <w:rsid w:val="00637003"/>
    <w:rsid w:val="00643281"/>
    <w:rsid w:val="00665025"/>
    <w:rsid w:val="00681FBE"/>
    <w:rsid w:val="006E4587"/>
    <w:rsid w:val="006F0E87"/>
    <w:rsid w:val="00701C0C"/>
    <w:rsid w:val="007122F5"/>
    <w:rsid w:val="007261CB"/>
    <w:rsid w:val="00730F04"/>
    <w:rsid w:val="0073196C"/>
    <w:rsid w:val="00734628"/>
    <w:rsid w:val="00741A46"/>
    <w:rsid w:val="0078032E"/>
    <w:rsid w:val="007D29C5"/>
    <w:rsid w:val="007F0C27"/>
    <w:rsid w:val="007F4F7B"/>
    <w:rsid w:val="00800108"/>
    <w:rsid w:val="008003C3"/>
    <w:rsid w:val="00831D20"/>
    <w:rsid w:val="00887465"/>
    <w:rsid w:val="00891147"/>
    <w:rsid w:val="00920EE2"/>
    <w:rsid w:val="009425B9"/>
    <w:rsid w:val="0095413A"/>
    <w:rsid w:val="00983AAA"/>
    <w:rsid w:val="009B4B22"/>
    <w:rsid w:val="009C19BE"/>
    <w:rsid w:val="009E7253"/>
    <w:rsid w:val="009F735A"/>
    <w:rsid w:val="00A20A9D"/>
    <w:rsid w:val="00A518D0"/>
    <w:rsid w:val="00A54363"/>
    <w:rsid w:val="00A55E68"/>
    <w:rsid w:val="00AC1E29"/>
    <w:rsid w:val="00AF1087"/>
    <w:rsid w:val="00B47BD5"/>
    <w:rsid w:val="00B539B3"/>
    <w:rsid w:val="00B63E91"/>
    <w:rsid w:val="00B71C72"/>
    <w:rsid w:val="00C132D9"/>
    <w:rsid w:val="00C17153"/>
    <w:rsid w:val="00C24099"/>
    <w:rsid w:val="00C24A2E"/>
    <w:rsid w:val="00C30AFB"/>
    <w:rsid w:val="00CE66DB"/>
    <w:rsid w:val="00CF11D0"/>
    <w:rsid w:val="00CF7C9C"/>
    <w:rsid w:val="00CF7D51"/>
    <w:rsid w:val="00D613F5"/>
    <w:rsid w:val="00D63329"/>
    <w:rsid w:val="00D64AA2"/>
    <w:rsid w:val="00D9692E"/>
    <w:rsid w:val="00DA1B53"/>
    <w:rsid w:val="00DB68E9"/>
    <w:rsid w:val="00DD05E4"/>
    <w:rsid w:val="00DF10C3"/>
    <w:rsid w:val="00E319CB"/>
    <w:rsid w:val="00E5412C"/>
    <w:rsid w:val="00E8445D"/>
    <w:rsid w:val="00EA448D"/>
    <w:rsid w:val="00EA53E5"/>
    <w:rsid w:val="00EB045F"/>
    <w:rsid w:val="00F05C40"/>
    <w:rsid w:val="00F3173A"/>
    <w:rsid w:val="00F3252C"/>
    <w:rsid w:val="00F3548A"/>
    <w:rsid w:val="00F457C9"/>
    <w:rsid w:val="00F60229"/>
    <w:rsid w:val="00FC294C"/>
    <w:rsid w:val="00FC2CAD"/>
    <w:rsid w:val="00FE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60E5144"/>
  <w15:docId w15:val="{2FBFB43F-88F6-4132-952C-DF4282107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0A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0AFB"/>
  </w:style>
  <w:style w:type="paragraph" w:styleId="Pidipagina">
    <w:name w:val="footer"/>
    <w:basedOn w:val="Normale"/>
    <w:link w:val="PidipaginaCarattere"/>
    <w:uiPriority w:val="99"/>
    <w:unhideWhenUsed/>
    <w:rsid w:val="00C30A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0AF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6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66DB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2779D7"/>
    <w:rPr>
      <w:color w:val="0563C1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2779D7"/>
    <w:rPr>
      <w:b/>
      <w:bCs/>
    </w:rPr>
  </w:style>
  <w:style w:type="paragraph" w:styleId="NormaleWeb">
    <w:name w:val="Normal (Web)"/>
    <w:basedOn w:val="Normale"/>
    <w:uiPriority w:val="99"/>
    <w:unhideWhenUsed/>
    <w:rsid w:val="002779D7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1D20"/>
    <w:rPr>
      <w:i/>
      <w:i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167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5F14F-16FB-41F3-AE95-1DE0106D1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Lorenzo Fioranelli</dc:creator>
  <cp:lastModifiedBy>Carlo</cp:lastModifiedBy>
  <cp:revision>2</cp:revision>
  <cp:lastPrinted>2019-03-06T15:35:00Z</cp:lastPrinted>
  <dcterms:created xsi:type="dcterms:W3CDTF">2019-04-15T10:44:00Z</dcterms:created>
  <dcterms:modified xsi:type="dcterms:W3CDTF">2019-04-15T10:44:00Z</dcterms:modified>
</cp:coreProperties>
</file>