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9F9" w:rsidRDefault="002D724C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10230C1" wp14:editId="2C154504">
            <wp:simplePos x="0" y="0"/>
            <wp:positionH relativeFrom="margin">
              <wp:align>center</wp:align>
            </wp:positionH>
            <wp:positionV relativeFrom="margin">
              <wp:posOffset>-823622</wp:posOffset>
            </wp:positionV>
            <wp:extent cx="6852285" cy="4149725"/>
            <wp:effectExtent l="0" t="0" r="5715" b="31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ADER CARTA INTESTA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2285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2E9" w:rsidRPr="008A62E9" w:rsidRDefault="002A7463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  <w:r>
        <w:rPr>
          <w:rFonts w:cs="Goudy-Italic"/>
          <w:b/>
          <w:iCs/>
          <w:color w:val="000000"/>
          <w:sz w:val="28"/>
          <w:szCs w:val="28"/>
        </w:rPr>
        <w:t>DANIELE BENATI</w:t>
      </w:r>
    </w:p>
    <w:p w:rsidR="008A62E9" w:rsidRDefault="002A7463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color w:val="000000"/>
          <w:sz w:val="28"/>
          <w:szCs w:val="28"/>
        </w:rPr>
      </w:pPr>
      <w:r>
        <w:rPr>
          <w:rFonts w:cs="Goudy-Italic"/>
          <w:b/>
          <w:iCs/>
          <w:color w:val="000000"/>
          <w:sz w:val="28"/>
          <w:szCs w:val="28"/>
        </w:rPr>
        <w:t>Curatore della mostra</w:t>
      </w:r>
    </w:p>
    <w:p w:rsidR="008A62E9" w:rsidRPr="008A62E9" w:rsidRDefault="008A62E9" w:rsidP="008A62E9">
      <w:pPr>
        <w:autoSpaceDE w:val="0"/>
        <w:autoSpaceDN w:val="0"/>
        <w:adjustRightInd w:val="0"/>
        <w:spacing w:after="0" w:line="240" w:lineRule="auto"/>
        <w:rPr>
          <w:rFonts w:cs="Goudy-Italic"/>
          <w:b/>
          <w:iCs/>
          <w:sz w:val="28"/>
          <w:szCs w:val="28"/>
        </w:rPr>
      </w:pPr>
    </w:p>
    <w:p w:rsidR="002A7463" w:rsidRP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b/>
          <w:bCs/>
          <w:i/>
          <w:iCs/>
          <w:sz w:val="28"/>
          <w:szCs w:val="26"/>
        </w:rPr>
      </w:pPr>
      <w:r w:rsidRPr="002A7463">
        <w:rPr>
          <w:rFonts w:cs="Goudy"/>
          <w:b/>
          <w:bCs/>
          <w:i/>
          <w:iCs/>
          <w:sz w:val="28"/>
          <w:szCs w:val="26"/>
        </w:rPr>
        <w:t xml:space="preserve">“Mostro di natura e miracolo da fare stupire”: itinerario del Guercino </w:t>
      </w:r>
      <w:r w:rsidRPr="002A7463">
        <w:rPr>
          <w:rFonts w:cs="Goudy"/>
          <w:b/>
          <w:bCs/>
          <w:i/>
          <w:iCs/>
          <w:sz w:val="32"/>
          <w:szCs w:val="28"/>
        </w:rPr>
        <w:t>*</w:t>
      </w:r>
    </w:p>
    <w:p w:rsid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  <w:r w:rsidRPr="002A7463">
        <w:rPr>
          <w:rFonts w:cs="Goudy"/>
          <w:sz w:val="24"/>
          <w:szCs w:val="24"/>
        </w:rPr>
        <w:t>Non è certo infrequente, per l’appassionato di pittura o per il semplice turista,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imbattersi nei quadri del Guercino. Nel redigere una nota biografica che Malvasia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 xml:space="preserve">avrebbe inserito di peso nella sua </w:t>
      </w:r>
      <w:proofErr w:type="spellStart"/>
      <w:r w:rsidRPr="002A7463">
        <w:rPr>
          <w:rFonts w:cs="Goudy"/>
          <w:i/>
          <w:iCs/>
          <w:sz w:val="24"/>
          <w:szCs w:val="24"/>
        </w:rPr>
        <w:t>Felsina</w:t>
      </w:r>
      <w:proofErr w:type="spellEnd"/>
      <w:r w:rsidRPr="002A7463">
        <w:rPr>
          <w:rFonts w:cs="Goudy"/>
          <w:i/>
          <w:iCs/>
          <w:sz w:val="24"/>
          <w:szCs w:val="24"/>
        </w:rPr>
        <w:t xml:space="preserve"> pittrice </w:t>
      </w:r>
      <w:r w:rsidRPr="002A7463">
        <w:rPr>
          <w:rFonts w:cs="Goudy"/>
          <w:sz w:val="24"/>
          <w:szCs w:val="24"/>
        </w:rPr>
        <w:t>(1678), già gli eredi ne rimarcavano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la straordinaria prolificità, col notare che “ha fatto cento sei tavole d’Altare”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e “centoquarantaquattro quadri a diversi Principi”. Dopo aver abbandonato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i luoghi per i quali erano stati eseguiti, i suoi dipinti si trovano attualmente esposti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nelle maggiori pinacoteche del mondo, dal Louvre al Prado, al Metropolitan,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alla National Gallery di Londra: grazie al lascito effettuato da Denis Mahon, in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quest’ultima il Guercino è in assoluto il pittore italiano di età barocca meglio rappresentato.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L’emozione che si prova nell’incontrare le sue opere a Cento rimane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tuttavia unica. E non solo per il numero davvero paradigmatico e sorprendente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che raggiungono (tralasciando i disegni e le stampe su sua invenzione e calcolando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singolarmente i riquadri staccati dai fregi affrescati nelle case centesi, i Guercino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di Cento sono… cento), ma proprio per la sintonia ancora ben percepibile che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esse mostrano nei confronti della città che le accoglie.</w:t>
      </w:r>
    </w:p>
    <w:p w:rsidR="002A7463" w:rsidRP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2A7463" w:rsidRP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i/>
          <w:iCs/>
          <w:sz w:val="24"/>
          <w:szCs w:val="24"/>
        </w:rPr>
      </w:pPr>
      <w:r w:rsidRPr="002A7463">
        <w:rPr>
          <w:rFonts w:cs="Goudy"/>
          <w:i/>
          <w:iCs/>
          <w:sz w:val="24"/>
          <w:szCs w:val="24"/>
        </w:rPr>
        <w:t>Cento, luogo dell’anima</w:t>
      </w:r>
    </w:p>
    <w:p w:rsid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  <w:r w:rsidRPr="002A7463">
        <w:rPr>
          <w:rFonts w:cs="Goudy"/>
          <w:sz w:val="24"/>
          <w:szCs w:val="24"/>
        </w:rPr>
        <w:t>Si può partire da questa semplice constatazione per giustificare una mostra con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la quale, a distanza di ormai sette anni dal sisma che la sconvolse nel 2012,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Cento – che nel frattempo ha istituito un Centro Studi Internazionale dedicato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al Guercino – prova a ritrovare se stessa attraverso l’artista che meglio ne ha saputo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in passato restituire l’anima serenamente attiva e laboriosa, quel carattere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“intimamente esperto, virilmente integro, senza forzature” di cui già aveva parlato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Johann Wolfgang Goethe allorché, concedendosi una sosta lungo il viaggio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che lo avrebbe condotto a Roma, vi era giunto il 17 ottobre 1786</w:t>
      </w:r>
    </w:p>
    <w:p w:rsidR="002A7463" w:rsidRDefault="002A7463" w:rsidP="008A62E9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EF4D81" w:rsidRDefault="00EF4D81" w:rsidP="008A62E9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2A7463" w:rsidRDefault="002A7463" w:rsidP="008A62E9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  <w:r>
        <w:rPr>
          <w:rFonts w:cs="Goudy"/>
          <w:sz w:val="24"/>
          <w:szCs w:val="24"/>
        </w:rPr>
        <w:lastRenderedPageBreak/>
        <w:t>(…)</w:t>
      </w:r>
    </w:p>
    <w:p w:rsidR="002A7463" w:rsidRDefault="002A7463" w:rsidP="008A62E9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2A7463" w:rsidRP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i/>
          <w:iCs/>
          <w:sz w:val="24"/>
          <w:szCs w:val="24"/>
        </w:rPr>
      </w:pPr>
      <w:r w:rsidRPr="002A7463">
        <w:rPr>
          <w:rFonts w:cs="Goudy"/>
          <w:i/>
          <w:iCs/>
          <w:sz w:val="24"/>
          <w:szCs w:val="24"/>
        </w:rPr>
        <w:t>Il Guercino a Cento: gli anni della formazione, tra Ferrara e Bologna</w:t>
      </w:r>
    </w:p>
    <w:p w:rsidR="002A7463" w:rsidRPr="002A7463" w:rsidRDefault="002A7463" w:rsidP="00EF4D81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sz w:val="24"/>
          <w:szCs w:val="24"/>
        </w:rPr>
      </w:pPr>
      <w:r w:rsidRPr="002A7463">
        <w:rPr>
          <w:rFonts w:cs="Goudy"/>
          <w:sz w:val="24"/>
          <w:szCs w:val="24"/>
        </w:rPr>
        <w:t xml:space="preserve">Attraverso le opere </w:t>
      </w:r>
      <w:bookmarkStart w:id="0" w:name="_GoBack"/>
      <w:r w:rsidRPr="002A7463">
        <w:rPr>
          <w:rFonts w:cs="Goudy"/>
          <w:sz w:val="24"/>
          <w:szCs w:val="24"/>
        </w:rPr>
        <w:t>presenti in mostra, eseguite in gran parte per Cento e dunque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per lo più appartenenti alla sua fase giovanile, è possibile restituire in modo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del tutto compiuto i modi della formazione del Guercino. In tale vicenda Cento,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gravitante su Ferrara e Bologna in quanto appartenente giuridicamente alla prima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ma inscritta nella diocesi della seconda, occupa un ruolo importante. Già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ad apertura di secolo la cittadina è animata da una classe imprenditoriale avveduta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e intraprendente, che si è arricchita grazie alla lavorazione e al commercio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della canapa ed è disposta a investire le rendite che le provengono da tali attività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al fine di assecondare una ben riposta ambizione culturale, che ha il suo punto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d’orgoglio nella decorazione delle chiese e dei palazzi cittadini. L’equidistanza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di Cento tra Bologna e Ferrara si coglie anche a livello artistico, visto che l’agiata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borghesia locale sa di volta in volta rapportarsi, per le commissioni più prestigiose,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 entrambi i centri. In un tale contesto si avvia l’epopea del Guercino,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che fin da subito appare in grado di mettere a disposizione dei concittadini più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 xml:space="preserve">in vista il “suo grande </w:t>
      </w:r>
      <w:proofErr w:type="spellStart"/>
      <w:r w:rsidRPr="002A7463">
        <w:rPr>
          <w:rFonts w:cs="Goudy"/>
          <w:sz w:val="24"/>
          <w:szCs w:val="24"/>
        </w:rPr>
        <w:t>natural</w:t>
      </w:r>
      <w:proofErr w:type="spellEnd"/>
      <w:r w:rsidRPr="002A7463">
        <w:rPr>
          <w:rFonts w:cs="Goudy"/>
          <w:sz w:val="24"/>
          <w:szCs w:val="24"/>
        </w:rPr>
        <w:t xml:space="preserve"> talento” (Malvasia</w:t>
      </w:r>
      <w:r>
        <w:rPr>
          <w:rFonts w:cs="Goudy"/>
          <w:sz w:val="24"/>
          <w:szCs w:val="24"/>
        </w:rPr>
        <w:t>)</w:t>
      </w:r>
      <w:r w:rsidRPr="002A7463">
        <w:rPr>
          <w:rFonts w:cs="Goudy"/>
          <w:sz w:val="24"/>
          <w:szCs w:val="24"/>
        </w:rPr>
        <w:t>.</w:t>
      </w:r>
    </w:p>
    <w:p w:rsidR="002A7463" w:rsidRDefault="002A7463" w:rsidP="00EF4D81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sz w:val="24"/>
          <w:szCs w:val="24"/>
        </w:rPr>
      </w:pPr>
      <w:r w:rsidRPr="002A7463">
        <w:rPr>
          <w:rFonts w:cs="Goudy"/>
          <w:sz w:val="24"/>
          <w:szCs w:val="24"/>
        </w:rPr>
        <w:t>Solo di recente gli studi stanno ricuperando la complessità dell’operazione messa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 punto dal Guercino nel corso della sua formazione, sul cui intendimento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gravavano da un lato le reiterate affermazioni dello stesso pittore circa il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“non aver avuto precettore” e dall’altro il correttivo apportato a tale asserzione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da Malvasia, secondo il quale il Guercino, in assenza di veri e propri maestri,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avrebbe maturato la propria inclinazione grazie allo studio di un solo dipinto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 xml:space="preserve">di Ludovico Carracci accessibile a Cento: la </w:t>
      </w:r>
      <w:r w:rsidRPr="002A7463">
        <w:rPr>
          <w:rFonts w:cs="Goudy"/>
          <w:i/>
          <w:iCs/>
          <w:sz w:val="24"/>
          <w:szCs w:val="24"/>
        </w:rPr>
        <w:t>Sacra famiglia con san Francesco e</w:t>
      </w:r>
      <w:r>
        <w:rPr>
          <w:rFonts w:cs="Goudy"/>
          <w:i/>
          <w:iCs/>
          <w:sz w:val="24"/>
          <w:szCs w:val="24"/>
        </w:rPr>
        <w:t xml:space="preserve"> </w:t>
      </w:r>
      <w:r w:rsidRPr="002A7463">
        <w:rPr>
          <w:rFonts w:cs="Goudy"/>
          <w:i/>
          <w:iCs/>
          <w:sz w:val="24"/>
          <w:szCs w:val="24"/>
        </w:rPr>
        <w:t>due donatori</w:t>
      </w:r>
      <w:r w:rsidRPr="002A7463">
        <w:rPr>
          <w:rFonts w:cs="Goudy"/>
          <w:sz w:val="24"/>
          <w:szCs w:val="24"/>
        </w:rPr>
        <w:t>, spedita da Bologna alla locale chiesa dei cappuccini nel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1591, che è anche l’anno – ma questo Malvasia non lo sapeva – in cui Giovanni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Francesco Barbieri era nato. Si tratta di un corto circuito assai suggestivo, anche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perché il canonico lo abbelliva di un gioco di parole di cui sarebbe stato 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suo dire autore lo stesso Guercino, solito a chiamare quel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 xml:space="preserve">dipinto la “sua </w:t>
      </w:r>
      <w:proofErr w:type="spellStart"/>
      <w:r w:rsidRPr="002A7463">
        <w:rPr>
          <w:rFonts w:cs="Goudy"/>
          <w:sz w:val="24"/>
          <w:szCs w:val="24"/>
        </w:rPr>
        <w:t>Carraccina</w:t>
      </w:r>
      <w:proofErr w:type="spellEnd"/>
      <w:r w:rsidRPr="002A7463">
        <w:rPr>
          <w:rFonts w:cs="Goudy"/>
          <w:sz w:val="24"/>
          <w:szCs w:val="24"/>
        </w:rPr>
        <w:t>”, cioè la “sua cara mammella”.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Poiché da tempo disponiamo della trascrizione degli appunti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 xml:space="preserve">preparatori per la </w:t>
      </w:r>
      <w:proofErr w:type="spellStart"/>
      <w:r w:rsidRPr="002A7463">
        <w:rPr>
          <w:rFonts w:cs="Goudy"/>
          <w:i/>
          <w:iCs/>
          <w:sz w:val="24"/>
          <w:szCs w:val="24"/>
        </w:rPr>
        <w:t>Felsina</w:t>
      </w:r>
      <w:proofErr w:type="spellEnd"/>
      <w:r w:rsidRPr="002A7463">
        <w:rPr>
          <w:rFonts w:cs="Goudy"/>
          <w:i/>
          <w:iCs/>
          <w:sz w:val="24"/>
          <w:szCs w:val="24"/>
        </w:rPr>
        <w:t xml:space="preserve"> pittrice </w:t>
      </w:r>
      <w:r w:rsidRPr="002A7463">
        <w:rPr>
          <w:rFonts w:cs="Goudy"/>
          <w:sz w:val="24"/>
          <w:szCs w:val="24"/>
        </w:rPr>
        <w:t>di Malvasia, dove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tale colorita espressione non compare ma si dice soltanto,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sulla base di una delle poche confidenze raccolte dalla viva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voce del pittore, “ch’egli poi veniva spesso a Bologna a vedere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le cose de’ Carracci ed ad osservarle e a farne memoria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e poi tornava a Cento ad operare”, si potrebbe persino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pensare che sia farina del sacco del canonico. In questo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caso il gioco di parole dimostrerebbe però il singolare acume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critico di quest’ultimo, in grado di cogliere una delle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fonti d’ispirazione del Guercino, che in quanto tale fi gura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anche in apertura di questa mostra. Non dovette trattarsi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però dell’unica, e anzi alla comprensione della modernità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raggiunta da Ludovico nella “</w:t>
      </w:r>
      <w:proofErr w:type="spellStart"/>
      <w:r w:rsidRPr="002A7463">
        <w:rPr>
          <w:rFonts w:cs="Goudy"/>
          <w:sz w:val="24"/>
          <w:szCs w:val="24"/>
        </w:rPr>
        <w:t>Carraccina</w:t>
      </w:r>
      <w:proofErr w:type="spellEnd"/>
      <w:r w:rsidRPr="002A7463">
        <w:rPr>
          <w:rFonts w:cs="Goudy"/>
          <w:sz w:val="24"/>
          <w:szCs w:val="24"/>
        </w:rPr>
        <w:t>” il pittore centese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perverrà per gradi, attraverso la mediazione di altre esperienze</w:t>
      </w:r>
      <w:r>
        <w:rPr>
          <w:rFonts w:cs="Goudy"/>
          <w:sz w:val="24"/>
          <w:szCs w:val="24"/>
        </w:rPr>
        <w:t xml:space="preserve"> </w:t>
      </w:r>
      <w:r w:rsidRPr="002A7463">
        <w:rPr>
          <w:rFonts w:cs="Goudy"/>
          <w:sz w:val="24"/>
          <w:szCs w:val="24"/>
        </w:rPr>
        <w:t>in grado di attirare la sua attenzione.</w:t>
      </w:r>
    </w:p>
    <w:p w:rsidR="002A7463" w:rsidRDefault="002A7463" w:rsidP="00EF4D81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2A7463">
        <w:rPr>
          <w:rFonts w:cs="Goudy"/>
          <w:color w:val="000000"/>
          <w:sz w:val="24"/>
          <w:szCs w:val="24"/>
        </w:rPr>
        <w:t>Si comprende del resto assai bene come, attraverso l’aneddoto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appena riportato, Malvasia, intenzionato ad ascrivere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il Guercino alla scuola bolognese, mirasse ad accreditarne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un avvio in chiave esclusivamente </w:t>
      </w:r>
      <w:proofErr w:type="spellStart"/>
      <w:r w:rsidRPr="002A7463">
        <w:rPr>
          <w:rFonts w:cs="Goudy"/>
          <w:color w:val="000000"/>
          <w:sz w:val="24"/>
          <w:szCs w:val="24"/>
        </w:rPr>
        <w:t>carraccesca</w:t>
      </w:r>
      <w:proofErr w:type="spellEnd"/>
      <w:r w:rsidRPr="002A7463">
        <w:rPr>
          <w:rFonts w:cs="Goudy"/>
          <w:color w:val="000000"/>
          <w:sz w:val="24"/>
          <w:szCs w:val="24"/>
        </w:rPr>
        <w:t>, e anzi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propriamente </w:t>
      </w:r>
      <w:proofErr w:type="spellStart"/>
      <w:r w:rsidRPr="002A7463">
        <w:rPr>
          <w:rFonts w:cs="Goudy"/>
          <w:color w:val="000000"/>
          <w:sz w:val="24"/>
          <w:szCs w:val="24"/>
        </w:rPr>
        <w:t>ludovichiana</w:t>
      </w:r>
      <w:proofErr w:type="spellEnd"/>
      <w:r w:rsidRPr="002A7463">
        <w:rPr>
          <w:rFonts w:cs="Goudy"/>
          <w:color w:val="000000"/>
          <w:sz w:val="24"/>
          <w:szCs w:val="24"/>
        </w:rPr>
        <w:t>, sottacendo l’altro versante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della sua cultura, ovvero quello ferrarese, che gli derivava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dalla particolare situazione centese di cui si è fatto cenno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più sopra. Un versante che sarà viceversa richiamato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da Roberto Longhi a chiusura della sua </w:t>
      </w:r>
      <w:r w:rsidRPr="002A7463">
        <w:rPr>
          <w:rFonts w:cs="Goudy"/>
          <w:i/>
          <w:iCs/>
          <w:color w:val="000000"/>
          <w:sz w:val="24"/>
          <w:szCs w:val="24"/>
        </w:rPr>
        <w:t>Officina ferrarese</w:t>
      </w:r>
      <w:r w:rsidR="00B56C0A">
        <w:rPr>
          <w:rFonts w:cs="Goudy"/>
          <w:i/>
          <w:iCs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(1934). In poche righe di formidabile acutezza critica, lo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studioso avrebbe infatti notato l’importanza rivestita per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il pittore centese dal grande precedente cinquecentesco costituito dal Dosso: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“proprio ‘il vero Guercino’ temporalesco, maculato, bruscato, è un Guercino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proofErr w:type="spellStart"/>
      <w:r w:rsidRPr="002A7463">
        <w:rPr>
          <w:rFonts w:cs="Goudy"/>
          <w:color w:val="000000"/>
          <w:sz w:val="24"/>
          <w:szCs w:val="24"/>
        </w:rPr>
        <w:t>dossesco</w:t>
      </w:r>
      <w:proofErr w:type="spellEnd"/>
      <w:r w:rsidRPr="002A7463">
        <w:rPr>
          <w:rFonts w:cs="Goudy"/>
          <w:color w:val="000000"/>
          <w:sz w:val="24"/>
          <w:szCs w:val="24"/>
        </w:rPr>
        <w:t xml:space="preserve">, come dicono schietto la </w:t>
      </w:r>
      <w:r w:rsidRPr="002A7463">
        <w:rPr>
          <w:rFonts w:cs="Goudy"/>
          <w:i/>
          <w:iCs/>
          <w:color w:val="000000"/>
          <w:sz w:val="24"/>
          <w:szCs w:val="24"/>
        </w:rPr>
        <w:t xml:space="preserve">Festa campestre </w:t>
      </w:r>
      <w:r w:rsidRPr="002A7463">
        <w:rPr>
          <w:rFonts w:cs="Goudy"/>
          <w:color w:val="000000"/>
          <w:sz w:val="24"/>
          <w:szCs w:val="24"/>
        </w:rPr>
        <w:t xml:space="preserve">di Palazzo Pitti e il </w:t>
      </w:r>
      <w:r w:rsidRPr="002A7463">
        <w:rPr>
          <w:rFonts w:cs="Goudy"/>
          <w:i/>
          <w:iCs/>
          <w:color w:val="000000"/>
          <w:sz w:val="24"/>
          <w:szCs w:val="24"/>
        </w:rPr>
        <w:t>Bagno di</w:t>
      </w:r>
      <w:r w:rsidR="00B56C0A">
        <w:rPr>
          <w:rFonts w:cs="Goudy"/>
          <w:i/>
          <w:iCs/>
          <w:color w:val="000000"/>
          <w:sz w:val="24"/>
          <w:szCs w:val="24"/>
        </w:rPr>
        <w:t xml:space="preserve"> </w:t>
      </w:r>
      <w:r w:rsidRPr="002A7463">
        <w:rPr>
          <w:rFonts w:cs="Goudy"/>
          <w:i/>
          <w:iCs/>
          <w:color w:val="000000"/>
          <w:sz w:val="24"/>
          <w:szCs w:val="24"/>
        </w:rPr>
        <w:t xml:space="preserve">Diana </w:t>
      </w:r>
      <w:r w:rsidRPr="002A7463">
        <w:rPr>
          <w:rFonts w:cs="Goudy"/>
          <w:color w:val="000000"/>
          <w:sz w:val="24"/>
          <w:szCs w:val="24"/>
        </w:rPr>
        <w:t>a Bergamo. Che più? La famosa ‘gran macchia’ del Guercino si svela, per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buon tratto, della stessa ascendenza”. Dimostrandosi attento lettore di Longhi,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anche Denis Mahon, nell’articolo sul giovane Guercino apparso in due puntate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nel 1937 sulle pagine del “Burlington Magazine”, citerà a sua volta il nome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lastRenderedPageBreak/>
        <w:t>dell’Ortolano – un artista ferrarese di primo Cinquecento rimesso in valore proprio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nell’</w:t>
      </w:r>
      <w:r w:rsidRPr="002A7463">
        <w:rPr>
          <w:rFonts w:cs="Goudy"/>
          <w:i/>
          <w:iCs/>
          <w:color w:val="000000"/>
          <w:sz w:val="24"/>
          <w:szCs w:val="24"/>
        </w:rPr>
        <w:t xml:space="preserve">Officina </w:t>
      </w:r>
      <w:r w:rsidRPr="002A7463">
        <w:rPr>
          <w:rFonts w:cs="Goudy"/>
          <w:color w:val="000000"/>
          <w:sz w:val="24"/>
          <w:szCs w:val="24"/>
        </w:rPr>
        <w:t xml:space="preserve">– a proposito della paletta con la </w:t>
      </w:r>
      <w:r w:rsidRPr="002A7463">
        <w:rPr>
          <w:rFonts w:cs="Goudy"/>
          <w:i/>
          <w:iCs/>
          <w:color w:val="000000"/>
          <w:sz w:val="24"/>
          <w:szCs w:val="24"/>
        </w:rPr>
        <w:t>Madonna col Bambino sulle</w:t>
      </w:r>
      <w:r w:rsidR="00B56C0A">
        <w:rPr>
          <w:rFonts w:cs="Goudy"/>
          <w:i/>
          <w:iCs/>
          <w:color w:val="000000"/>
          <w:sz w:val="24"/>
          <w:szCs w:val="24"/>
        </w:rPr>
        <w:t xml:space="preserve"> </w:t>
      </w:r>
      <w:r w:rsidRPr="002A7463">
        <w:rPr>
          <w:rFonts w:cs="Goudy"/>
          <w:i/>
          <w:iCs/>
          <w:color w:val="000000"/>
          <w:sz w:val="24"/>
          <w:szCs w:val="24"/>
        </w:rPr>
        <w:t xml:space="preserve">nubi con san Pancrazio e una santa monaca </w:t>
      </w:r>
      <w:r w:rsidRPr="002A7463">
        <w:rPr>
          <w:rFonts w:cs="Goudy"/>
          <w:color w:val="000000"/>
          <w:sz w:val="24"/>
          <w:szCs w:val="24"/>
        </w:rPr>
        <w:t>della parrocchiale di Renazzo di Cento, citata in modo ellittico fi n dal 1657 da Francesco Scannelli e da lui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rintracciata e restituita all’artista.</w:t>
      </w:r>
    </w:p>
    <w:p w:rsidR="002A7463" w:rsidRDefault="002A7463" w:rsidP="00EF4D81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2A7463">
        <w:rPr>
          <w:rFonts w:cs="Goudy"/>
          <w:color w:val="000000"/>
          <w:sz w:val="24"/>
          <w:szCs w:val="24"/>
        </w:rPr>
        <w:t>Su tale versante il Guercino poteva tuttavia fare riferimento a modelli a lui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più prossimi, orientati verso una rilettura in chiave già moderna del grande patrimonio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artistico del Cinquecento ferrarese. Ancor più che nel nome dello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proofErr w:type="spellStart"/>
      <w:r w:rsidRPr="002A7463">
        <w:rPr>
          <w:rFonts w:cs="Goudy"/>
          <w:color w:val="000000"/>
          <w:sz w:val="24"/>
          <w:szCs w:val="24"/>
        </w:rPr>
        <w:t>Scarsellino</w:t>
      </w:r>
      <w:proofErr w:type="spellEnd"/>
      <w:r w:rsidRPr="002A7463">
        <w:rPr>
          <w:rFonts w:cs="Goudy"/>
          <w:color w:val="000000"/>
          <w:sz w:val="24"/>
          <w:szCs w:val="24"/>
        </w:rPr>
        <w:t>, pure tenuto presente dal giovane centese, tale indirizzo si può precisare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in quello di Carlo Bononi, un pittore la cui importanza si va sempre meglio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chiarendo</w:t>
      </w:r>
      <w:r>
        <w:rPr>
          <w:rFonts w:cs="Goudy"/>
          <w:color w:val="000000"/>
          <w:sz w:val="24"/>
          <w:szCs w:val="24"/>
        </w:rPr>
        <w:t>.</w:t>
      </w:r>
    </w:p>
    <w:p w:rsidR="002A7463" w:rsidRDefault="002A7463" w:rsidP="00EF4D81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>
        <w:rPr>
          <w:rFonts w:cs="Goudy"/>
          <w:color w:val="000000"/>
          <w:sz w:val="24"/>
          <w:szCs w:val="24"/>
        </w:rPr>
        <w:t xml:space="preserve">(…) </w:t>
      </w:r>
      <w:r w:rsidRPr="002A7463">
        <w:rPr>
          <w:rFonts w:cs="Goudy"/>
          <w:color w:val="000000"/>
          <w:sz w:val="24"/>
          <w:szCs w:val="24"/>
        </w:rPr>
        <w:t>Come ho avuto modo di sostenere in più occasioni, la comprensione della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prima attività del Guercino passa attraverso la pala raffigurante la </w:t>
      </w:r>
      <w:r w:rsidRPr="002A7463">
        <w:rPr>
          <w:rFonts w:cs="Goudy"/>
          <w:i/>
          <w:iCs/>
          <w:color w:val="000000"/>
          <w:sz w:val="24"/>
          <w:szCs w:val="24"/>
        </w:rPr>
        <w:t>Madonna col</w:t>
      </w:r>
      <w:r w:rsidR="00B56C0A">
        <w:rPr>
          <w:rFonts w:cs="Goudy"/>
          <w:i/>
          <w:iCs/>
          <w:color w:val="000000"/>
          <w:sz w:val="24"/>
          <w:szCs w:val="24"/>
        </w:rPr>
        <w:t xml:space="preserve"> </w:t>
      </w:r>
      <w:r w:rsidRPr="002A7463">
        <w:rPr>
          <w:rFonts w:cs="Goudy"/>
          <w:i/>
          <w:iCs/>
          <w:color w:val="000000"/>
          <w:sz w:val="24"/>
          <w:szCs w:val="24"/>
        </w:rPr>
        <w:t>Bambino in trono e i santi Francesco, Antonio abate e Bovo</w:t>
      </w:r>
      <w:r w:rsidRPr="002A7463">
        <w:rPr>
          <w:rFonts w:cs="Goudy"/>
          <w:color w:val="000000"/>
          <w:sz w:val="24"/>
          <w:szCs w:val="24"/>
        </w:rPr>
        <w:t>, la prima delle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tre che Scannelli ricorda eseguite dal Guercino per la parrocchiale di Renazzo di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Cento (la seconda sarà il </w:t>
      </w:r>
      <w:r w:rsidRPr="002A7463">
        <w:rPr>
          <w:rFonts w:cs="Goudy"/>
          <w:i/>
          <w:iCs/>
          <w:color w:val="000000"/>
          <w:sz w:val="24"/>
          <w:szCs w:val="24"/>
        </w:rPr>
        <w:t xml:space="preserve">Miracolo di san Carlo Borromeo </w:t>
      </w:r>
      <w:r w:rsidRPr="002A7463">
        <w:rPr>
          <w:rFonts w:cs="Goudy"/>
          <w:color w:val="000000"/>
          <w:sz w:val="24"/>
          <w:szCs w:val="24"/>
        </w:rPr>
        <w:t>e la terza è la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già citata </w:t>
      </w:r>
      <w:r w:rsidRPr="002A7463">
        <w:rPr>
          <w:rFonts w:cs="Goudy"/>
          <w:i/>
          <w:iCs/>
          <w:color w:val="000000"/>
          <w:sz w:val="24"/>
          <w:szCs w:val="24"/>
        </w:rPr>
        <w:t>Madonna di san Pancrazio</w:t>
      </w:r>
      <w:r w:rsidRPr="002A7463">
        <w:rPr>
          <w:rFonts w:cs="Goudy"/>
          <w:color w:val="000000"/>
          <w:sz w:val="24"/>
          <w:szCs w:val="24"/>
        </w:rPr>
        <w:t>). Avendola da poco riottenuta e ricollocata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sul proprio altare dopo le tragiche vicende del sisma del 2012, la comunità non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ne ha concesso il prestito alla mostra – una decisione alla quale a mio modo di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vedere non si può che plaudire, stante il carattere fortemente identitario che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essa ricopre per quel luogo – e dunque, per ammirarla, il visitatore che non voglia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accontentarsi della fotografia riprodotta in catalogo dovrà spingersi fino 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Renazzo, percorrendo parte della “pianura tutta coltivata a perdita d’occhio” di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cui parlava Goethe. Ma è davvero incomprensibile che gli studi recenti abbiano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potuto prescindere da questo acerbo capolavoro. Dopo averlo in un primo momento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riconosciuto al Guercino sulla base della citazione di Scannelli che nel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1657 aveva parlato di “tre Tavole, che io già </w:t>
      </w:r>
      <w:proofErr w:type="spellStart"/>
      <w:r w:rsidRPr="002A7463">
        <w:rPr>
          <w:rFonts w:cs="Goudy"/>
          <w:color w:val="000000"/>
          <w:sz w:val="24"/>
          <w:szCs w:val="24"/>
        </w:rPr>
        <w:t>viddi</w:t>
      </w:r>
      <w:proofErr w:type="spellEnd"/>
      <w:r w:rsidRPr="002A7463">
        <w:rPr>
          <w:rFonts w:cs="Goudy"/>
          <w:color w:val="000000"/>
          <w:sz w:val="24"/>
          <w:szCs w:val="24"/>
        </w:rPr>
        <w:t xml:space="preserve"> di passaggio entro una Chiesa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di Villa tra Cento, et il Finale di Modana, le quali sono degne di ritrovarsi nelle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principali Città dell’Italia”, lo stesso Mahon ha infatti aderito alla proposta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di riconoscervi la mano di Lorenzo Gennari, un artista in favore del quale nel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>1617 è registrato un pagamento per alcuni fregi eseguiti insieme a Barbieri in</w:t>
      </w:r>
      <w:r w:rsidR="00B56C0A">
        <w:rPr>
          <w:rFonts w:cs="Goudy"/>
          <w:color w:val="000000"/>
          <w:sz w:val="24"/>
          <w:szCs w:val="24"/>
        </w:rPr>
        <w:t xml:space="preserve"> </w:t>
      </w:r>
      <w:r w:rsidRPr="002A7463">
        <w:rPr>
          <w:rFonts w:cs="Goudy"/>
          <w:color w:val="000000"/>
          <w:sz w:val="24"/>
          <w:szCs w:val="24"/>
        </w:rPr>
        <w:t xml:space="preserve">casa </w:t>
      </w:r>
      <w:bookmarkEnd w:id="0"/>
      <w:proofErr w:type="spellStart"/>
      <w:r w:rsidRPr="002A7463">
        <w:rPr>
          <w:rFonts w:cs="Goudy"/>
          <w:color w:val="000000"/>
          <w:sz w:val="24"/>
          <w:szCs w:val="24"/>
        </w:rPr>
        <w:t>Pannini</w:t>
      </w:r>
      <w:proofErr w:type="spellEnd"/>
      <w:r w:rsidRPr="002A7463">
        <w:rPr>
          <w:rFonts w:cs="Goudy"/>
          <w:color w:val="000000"/>
          <w:sz w:val="24"/>
          <w:szCs w:val="24"/>
        </w:rPr>
        <w:t xml:space="preserve"> a Cento.</w:t>
      </w:r>
    </w:p>
    <w:p w:rsidR="002A7463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</w:p>
    <w:p w:rsidR="002A7463" w:rsidRPr="008A62E9" w:rsidRDefault="002A7463" w:rsidP="002A7463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</w:p>
    <w:p w:rsidR="00B56C0A" w:rsidRDefault="007919F9" w:rsidP="008A62E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Cento (FE), 8 novembre 2019</w:t>
      </w:r>
    </w:p>
    <w:p w:rsidR="00B56C0A" w:rsidRDefault="00B56C0A" w:rsidP="008A62E9">
      <w:pPr>
        <w:spacing w:after="0" w:line="240" w:lineRule="auto"/>
        <w:jc w:val="both"/>
        <w:rPr>
          <w:sz w:val="24"/>
          <w:szCs w:val="24"/>
        </w:rPr>
      </w:pPr>
    </w:p>
    <w:p w:rsidR="00B56C0A" w:rsidRPr="00B56C0A" w:rsidRDefault="00B56C0A" w:rsidP="008A62E9">
      <w:pPr>
        <w:spacing w:after="0" w:line="240" w:lineRule="auto"/>
        <w:jc w:val="both"/>
        <w:rPr>
          <w:b/>
          <w:bCs/>
          <w:sz w:val="24"/>
          <w:szCs w:val="24"/>
        </w:rPr>
      </w:pPr>
      <w:r w:rsidRPr="00B56C0A">
        <w:rPr>
          <w:b/>
          <w:bCs/>
          <w:sz w:val="24"/>
          <w:szCs w:val="24"/>
        </w:rPr>
        <w:t>* Estratto dal testo in catalogo Silvana Editoriale</w:t>
      </w:r>
    </w:p>
    <w:sectPr w:rsidR="00B56C0A" w:rsidRPr="00B56C0A" w:rsidSect="00151F2E">
      <w:headerReference w:type="defaul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E2D" w:rsidRDefault="002B0E2D" w:rsidP="002B0E2D">
      <w:pPr>
        <w:spacing w:after="0" w:line="240" w:lineRule="auto"/>
      </w:pPr>
      <w:r>
        <w:separator/>
      </w:r>
    </w:p>
  </w:endnote>
  <w:end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udy-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ud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E2D" w:rsidRDefault="002B0E2D" w:rsidP="002B0E2D">
      <w:pPr>
        <w:spacing w:after="0" w:line="240" w:lineRule="auto"/>
      </w:pPr>
      <w:r>
        <w:separator/>
      </w:r>
    </w:p>
  </w:footnote>
  <w:foot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E2D" w:rsidRDefault="002B0E2D">
    <w:pPr>
      <w:pStyle w:val="Intestazione"/>
    </w:pPr>
  </w:p>
  <w:p w:rsidR="00151F2E" w:rsidRDefault="00151F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EFD"/>
    <w:rsid w:val="00000B99"/>
    <w:rsid w:val="000B04E3"/>
    <w:rsid w:val="000D4F00"/>
    <w:rsid w:val="000F32C4"/>
    <w:rsid w:val="0011449D"/>
    <w:rsid w:val="00151F2E"/>
    <w:rsid w:val="001556EA"/>
    <w:rsid w:val="00174ACB"/>
    <w:rsid w:val="00207589"/>
    <w:rsid w:val="0022306E"/>
    <w:rsid w:val="00237DB9"/>
    <w:rsid w:val="0029164F"/>
    <w:rsid w:val="00296ED9"/>
    <w:rsid w:val="002A2158"/>
    <w:rsid w:val="002A7463"/>
    <w:rsid w:val="002B0E2D"/>
    <w:rsid w:val="002B1BDB"/>
    <w:rsid w:val="002C2DAB"/>
    <w:rsid w:val="002D724C"/>
    <w:rsid w:val="0031502D"/>
    <w:rsid w:val="00333E2A"/>
    <w:rsid w:val="00413EE8"/>
    <w:rsid w:val="00453E88"/>
    <w:rsid w:val="0047080C"/>
    <w:rsid w:val="00535B13"/>
    <w:rsid w:val="005D7756"/>
    <w:rsid w:val="006060B5"/>
    <w:rsid w:val="006937E8"/>
    <w:rsid w:val="006A17BA"/>
    <w:rsid w:val="00710865"/>
    <w:rsid w:val="00750AD4"/>
    <w:rsid w:val="0077607C"/>
    <w:rsid w:val="007919F9"/>
    <w:rsid w:val="007A14E4"/>
    <w:rsid w:val="007B08B1"/>
    <w:rsid w:val="00804BF6"/>
    <w:rsid w:val="00836A62"/>
    <w:rsid w:val="008A51CF"/>
    <w:rsid w:val="008A62E9"/>
    <w:rsid w:val="0096176A"/>
    <w:rsid w:val="00A25C10"/>
    <w:rsid w:val="00A37E5A"/>
    <w:rsid w:val="00AB34E8"/>
    <w:rsid w:val="00B3218A"/>
    <w:rsid w:val="00B56C0A"/>
    <w:rsid w:val="00B60814"/>
    <w:rsid w:val="00B628E8"/>
    <w:rsid w:val="00BD451F"/>
    <w:rsid w:val="00C10EFD"/>
    <w:rsid w:val="00C31D1B"/>
    <w:rsid w:val="00C431A0"/>
    <w:rsid w:val="00C638D0"/>
    <w:rsid w:val="00C861E0"/>
    <w:rsid w:val="00CD1EDA"/>
    <w:rsid w:val="00CD244A"/>
    <w:rsid w:val="00D04C86"/>
    <w:rsid w:val="00D404E7"/>
    <w:rsid w:val="00D6230E"/>
    <w:rsid w:val="00D741BA"/>
    <w:rsid w:val="00E17D7D"/>
    <w:rsid w:val="00E5260C"/>
    <w:rsid w:val="00E76F08"/>
    <w:rsid w:val="00EF4D81"/>
    <w:rsid w:val="00F131BD"/>
    <w:rsid w:val="00F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BCC8C9"/>
  <w15:docId w15:val="{73D32551-362E-40BD-8050-916B20AF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621E9-2563-4FE7-8C24-438DF4B1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4</cp:revision>
  <cp:lastPrinted>2019-10-24T07:28:00Z</cp:lastPrinted>
  <dcterms:created xsi:type="dcterms:W3CDTF">2019-11-05T12:24:00Z</dcterms:created>
  <dcterms:modified xsi:type="dcterms:W3CDTF">2019-11-06T14:10:00Z</dcterms:modified>
</cp:coreProperties>
</file>